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b/>
          <w:sz w:val="30"/>
          <w:szCs w:val="30"/>
        </w:rPr>
      </w:pPr>
      <w:r>
        <w:rPr>
          <w:rFonts w:ascii="Times New Roman" w:hAnsi="Times New Roman" w:eastAsia="宋体" w:cs="Times New Roman"/>
          <w:b/>
          <w:sz w:val="30"/>
          <w:szCs w:val="30"/>
        </w:rPr>
        <w:t>基于增加值人民币有效汇率数据月报（20</w:t>
      </w:r>
      <w:r>
        <w:rPr>
          <w:rFonts w:hint="eastAsia" w:ascii="Times New Roman" w:hAnsi="Times New Roman" w:eastAsia="宋体" w:cs="Times New Roman"/>
          <w:b/>
          <w:sz w:val="30"/>
          <w:szCs w:val="30"/>
        </w:rPr>
        <w:t>20</w:t>
      </w:r>
      <w:r>
        <w:rPr>
          <w:rFonts w:ascii="Times New Roman" w:hAnsi="Times New Roman" w:eastAsia="宋体" w:cs="Times New Roman"/>
          <w:b/>
          <w:sz w:val="30"/>
          <w:szCs w:val="30"/>
        </w:rPr>
        <w:t>年</w:t>
      </w:r>
      <w:r>
        <w:rPr>
          <w:rFonts w:hint="eastAsia" w:ascii="Times New Roman" w:hAnsi="Times New Roman" w:eastAsia="宋体" w:cs="Times New Roman"/>
          <w:b/>
          <w:sz w:val="30"/>
          <w:szCs w:val="30"/>
        </w:rPr>
        <w:t>4</w:t>
      </w:r>
      <w:r>
        <w:rPr>
          <w:rFonts w:ascii="Times New Roman" w:hAnsi="Times New Roman" w:eastAsia="宋体" w:cs="Times New Roman"/>
          <w:b/>
          <w:sz w:val="30"/>
          <w:szCs w:val="30"/>
        </w:rPr>
        <w:t>月）</w:t>
      </w:r>
    </w:p>
    <w:p>
      <w:pPr>
        <w:spacing w:line="360" w:lineRule="auto"/>
        <w:jc w:val="center"/>
        <w:rPr>
          <w:rFonts w:ascii="Times New Roman" w:hAnsi="Times New Roman" w:eastAsia="宋体" w:cs="Times New Roman"/>
          <w:b/>
          <w:sz w:val="30"/>
          <w:szCs w:val="30"/>
        </w:rPr>
      </w:pP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w:t>
      </w:r>
      <w:r>
        <w:rPr>
          <w:rFonts w:ascii="Times New Roman" w:hAnsi="Times New Roman" w:eastAsia="宋体" w:cs="Times New Roman"/>
          <w:b/>
          <w:sz w:val="24"/>
          <w:szCs w:val="24"/>
        </w:rPr>
        <w:t>20</w:t>
      </w:r>
      <w:r>
        <w:rPr>
          <w:rFonts w:hint="eastAsia" w:ascii="Times New Roman" w:hAnsi="Times New Roman" w:eastAsia="宋体" w:cs="Times New Roman"/>
          <w:b/>
          <w:sz w:val="24"/>
          <w:szCs w:val="24"/>
        </w:rPr>
        <w:t>20年</w:t>
      </w:r>
      <w:r>
        <w:rPr>
          <w:rFonts w:hint="eastAsia" w:ascii="Times New Roman" w:hAnsi="Times New Roman" w:eastAsia="宋体" w:cs="Times New Roman"/>
          <w:b/>
          <w:sz w:val="24"/>
          <w:szCs w:val="24"/>
          <w:lang w:val="en-US" w:eastAsia="zh-CN"/>
        </w:rPr>
        <w:t>4</w:t>
      </w:r>
      <w:bookmarkStart w:id="0" w:name="_GoBack"/>
      <w:bookmarkEnd w:id="0"/>
      <w:r>
        <w:rPr>
          <w:rFonts w:hint="eastAsia" w:ascii="Times New Roman" w:hAnsi="Times New Roman" w:eastAsia="宋体" w:cs="Times New Roman"/>
          <w:b/>
          <w:sz w:val="24"/>
          <w:szCs w:val="24"/>
        </w:rPr>
        <w:t>月，加总的基于增加值人民币有效汇率上月环比升值0.40</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，上年同比贬值0.95</w:t>
      </w:r>
      <w:r>
        <w:rPr>
          <w:rFonts w:ascii="Times New Roman" w:hAnsi="Times New Roman" w:eastAsia="宋体" w:cs="Times New Roman"/>
          <w:b/>
          <w:sz w:val="24"/>
          <w:szCs w:val="24"/>
        </w:rPr>
        <w:t>%</w:t>
      </w:r>
      <w:r>
        <w:rPr>
          <w:rFonts w:ascii="Times New Roman" w:hAnsi="Times New Roman" w:eastAsia="宋体" w:cs="Times New Roman"/>
          <w:sz w:val="24"/>
          <w:szCs w:val="24"/>
        </w:rPr>
        <w:t>（图1）。同一时期，BIS人民币名义有效汇率上月环比</w:t>
      </w:r>
      <w:r>
        <w:rPr>
          <w:rFonts w:hint="eastAsia" w:ascii="Times New Roman" w:hAnsi="Times New Roman" w:eastAsia="宋体" w:cs="Times New Roman"/>
          <w:sz w:val="24"/>
          <w:szCs w:val="24"/>
        </w:rPr>
        <w:t>升值0.41%</w:t>
      </w:r>
      <w:r>
        <w:rPr>
          <w:rFonts w:ascii="Times New Roman" w:hAnsi="Times New Roman" w:eastAsia="宋体" w:cs="Times New Roman"/>
          <w:sz w:val="24"/>
          <w:szCs w:val="24"/>
        </w:rPr>
        <w:t>，上年同比贬值</w:t>
      </w:r>
      <w:r>
        <w:rPr>
          <w:rFonts w:hint="eastAsia" w:ascii="Times New Roman" w:hAnsi="Times New Roman" w:eastAsia="宋体" w:cs="Times New Roman"/>
          <w:sz w:val="24"/>
          <w:szCs w:val="24"/>
        </w:rPr>
        <w:t>1.17</w:t>
      </w:r>
      <w:r>
        <w:rPr>
          <w:rFonts w:ascii="Times New Roman" w:hAnsi="Times New Roman" w:eastAsia="宋体" w:cs="Times New Roman"/>
          <w:sz w:val="24"/>
          <w:szCs w:val="24"/>
        </w:rPr>
        <w:t>%，增加值有效汇率</w:t>
      </w:r>
      <w:r>
        <w:rPr>
          <w:rFonts w:hint="eastAsia" w:ascii="Times New Roman" w:hAnsi="Times New Roman" w:eastAsia="宋体" w:cs="Times New Roman"/>
          <w:sz w:val="24"/>
          <w:szCs w:val="24"/>
        </w:rPr>
        <w:t>与</w:t>
      </w:r>
      <w:r>
        <w:rPr>
          <w:rFonts w:ascii="Times New Roman" w:hAnsi="Times New Roman" w:eastAsia="宋体" w:cs="Times New Roman"/>
          <w:sz w:val="24"/>
          <w:szCs w:val="24"/>
        </w:rPr>
        <w:t>BIS</w:t>
      </w:r>
      <w:r>
        <w:rPr>
          <w:rFonts w:hint="eastAsia" w:ascii="Times New Roman" w:hAnsi="Times New Roman" w:eastAsia="宋体" w:cs="Times New Roman"/>
          <w:sz w:val="24"/>
          <w:szCs w:val="24"/>
        </w:rPr>
        <w:t>有效汇率走势整体基本相当</w:t>
      </w:r>
      <w:r>
        <w:rPr>
          <w:rFonts w:ascii="Times New Roman" w:hAnsi="Times New Roman" w:eastAsia="宋体" w:cs="Times New Roman"/>
          <w:sz w:val="24"/>
          <w:szCs w:val="24"/>
        </w:rPr>
        <w:t>。</w:t>
      </w:r>
      <w:r>
        <w:rPr>
          <w:rFonts w:hint="eastAsia" w:ascii="Times New Roman" w:hAnsi="Times New Roman" w:eastAsia="宋体" w:cs="Times New Roman"/>
          <w:sz w:val="24"/>
          <w:szCs w:val="24"/>
        </w:rPr>
        <w:t>其他代表性传统汇率走势如下：</w:t>
      </w:r>
      <w:r>
        <w:rPr>
          <w:rFonts w:ascii="Times New Roman" w:hAnsi="Times New Roman" w:eastAsia="宋体" w:cs="Times New Roman"/>
          <w:sz w:val="24"/>
          <w:szCs w:val="24"/>
        </w:rPr>
        <w:t>BIS人民币实际有效汇率上月环比</w:t>
      </w:r>
      <w:r>
        <w:rPr>
          <w:rFonts w:hint="eastAsia" w:ascii="Times New Roman" w:hAnsi="Times New Roman" w:eastAsia="宋体" w:cs="Times New Roman"/>
          <w:sz w:val="24"/>
          <w:szCs w:val="24"/>
        </w:rPr>
        <w:t>贬值0.53</w:t>
      </w:r>
      <w:r>
        <w:rPr>
          <w:rFonts w:ascii="Times New Roman" w:hAnsi="Times New Roman" w:eastAsia="宋体" w:cs="Times New Roman"/>
          <w:sz w:val="24"/>
          <w:szCs w:val="24"/>
        </w:rPr>
        <w:t>%，上年同比</w:t>
      </w:r>
      <w:r>
        <w:rPr>
          <w:rFonts w:hint="eastAsia" w:ascii="Times New Roman" w:hAnsi="Times New Roman" w:eastAsia="宋体" w:cs="Times New Roman"/>
          <w:sz w:val="24"/>
          <w:szCs w:val="24"/>
        </w:rPr>
        <w:t>升值1.23</w:t>
      </w:r>
      <w:r>
        <w:rPr>
          <w:rFonts w:ascii="Times New Roman" w:hAnsi="Times New Roman" w:eastAsia="宋体" w:cs="Times New Roman"/>
          <w:sz w:val="24"/>
          <w:szCs w:val="24"/>
        </w:rPr>
        <w:t>%；基于CFETS 货币篮子人民币汇率指数上月环比</w:t>
      </w:r>
      <w:r>
        <w:rPr>
          <w:rFonts w:hint="eastAsia" w:ascii="Times New Roman" w:hAnsi="Times New Roman" w:eastAsia="宋体" w:cs="Times New Roman"/>
          <w:sz w:val="24"/>
          <w:szCs w:val="24"/>
        </w:rPr>
        <w:t>贬值0.30</w:t>
      </w:r>
      <w:r>
        <w:rPr>
          <w:rFonts w:ascii="Times New Roman" w:hAnsi="Times New Roman" w:eastAsia="宋体" w:cs="Times New Roman"/>
          <w:sz w:val="24"/>
          <w:szCs w:val="24"/>
        </w:rPr>
        <w:t>%，上年同比贬值</w:t>
      </w:r>
      <w:r>
        <w:rPr>
          <w:rFonts w:hint="eastAsia" w:ascii="Times New Roman" w:hAnsi="Times New Roman" w:eastAsia="宋体" w:cs="Times New Roman"/>
          <w:sz w:val="24"/>
          <w:szCs w:val="24"/>
        </w:rPr>
        <w:t>1.93</w:t>
      </w:r>
      <w:r>
        <w:rPr>
          <w:rFonts w:ascii="Times New Roman" w:hAnsi="Times New Roman" w:eastAsia="宋体" w:cs="Times New Roman"/>
          <w:sz w:val="24"/>
          <w:szCs w:val="24"/>
        </w:rPr>
        <w:t>%；基于SDR货币篮子人民币指数上月环比</w:t>
      </w:r>
      <w:r>
        <w:rPr>
          <w:rFonts w:hint="eastAsia" w:ascii="Times New Roman" w:hAnsi="Times New Roman" w:eastAsia="宋体" w:cs="Times New Roman"/>
          <w:sz w:val="24"/>
          <w:szCs w:val="24"/>
        </w:rPr>
        <w:t>升值0.65</w:t>
      </w:r>
      <w:r>
        <w:rPr>
          <w:rFonts w:ascii="Times New Roman" w:hAnsi="Times New Roman" w:eastAsia="宋体" w:cs="Times New Roman"/>
          <w:sz w:val="24"/>
          <w:szCs w:val="24"/>
        </w:rPr>
        <w:t>%，上年同比贬值</w:t>
      </w:r>
      <w:r>
        <w:rPr>
          <w:rFonts w:hint="eastAsia" w:ascii="Times New Roman" w:hAnsi="Times New Roman" w:eastAsia="宋体" w:cs="Times New Roman"/>
          <w:sz w:val="24"/>
          <w:szCs w:val="24"/>
        </w:rPr>
        <w:t>3.82</w:t>
      </w:r>
      <w:r>
        <w:rPr>
          <w:rFonts w:ascii="Times New Roman" w:hAnsi="Times New Roman" w:eastAsia="宋体" w:cs="Times New Roman"/>
          <w:sz w:val="24"/>
          <w:szCs w:val="24"/>
        </w:rPr>
        <w:t>%。</w:t>
      </w:r>
      <w:r>
        <w:rPr>
          <w:rFonts w:hint="eastAsia" w:ascii="Times New Roman" w:hAnsi="Times New Roman" w:eastAsia="宋体" w:cs="Times New Roman"/>
          <w:sz w:val="24"/>
          <w:szCs w:val="24"/>
        </w:rPr>
        <w:t>基于增加值人民币有效汇率环比升值幅度与BIS及主要篮子货币持平，同比贬值幅度略低于BIS与主要篮子货币之间。</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 xml:space="preserve">2. </w:t>
      </w:r>
      <w:r>
        <w:rPr>
          <w:rFonts w:hint="eastAsia" w:ascii="Times New Roman" w:hAnsi="Times New Roman" w:eastAsia="宋体" w:cs="Times New Roman"/>
          <w:b/>
          <w:sz w:val="24"/>
          <w:szCs w:val="24"/>
        </w:rPr>
        <w:t>分解来看，可贸易品和不可贸易品基于增加值人民币有效汇率也均贬值。</w:t>
      </w:r>
      <w:r>
        <w:rPr>
          <w:rFonts w:ascii="Times New Roman" w:hAnsi="Times New Roman" w:eastAsia="宋体" w:cs="Times New Roman"/>
          <w:sz w:val="24"/>
          <w:szCs w:val="24"/>
        </w:rPr>
        <w:t>可贸易品有效汇率上月</w:t>
      </w:r>
      <w:r>
        <w:rPr>
          <w:rFonts w:hint="eastAsia" w:ascii="Times New Roman" w:hAnsi="Times New Roman" w:eastAsia="宋体" w:cs="Times New Roman"/>
          <w:sz w:val="24"/>
          <w:szCs w:val="24"/>
        </w:rPr>
        <w:t>升值0.42%</w:t>
      </w:r>
      <w:r>
        <w:rPr>
          <w:rFonts w:ascii="Times New Roman" w:hAnsi="Times New Roman" w:eastAsia="宋体" w:cs="Times New Roman"/>
          <w:sz w:val="24"/>
          <w:szCs w:val="24"/>
        </w:rPr>
        <w:t>，上年同比贬值</w:t>
      </w:r>
      <w:r>
        <w:rPr>
          <w:rFonts w:hint="eastAsia" w:ascii="Times New Roman" w:hAnsi="Times New Roman" w:eastAsia="宋体" w:cs="Times New Roman"/>
          <w:sz w:val="24"/>
          <w:szCs w:val="24"/>
        </w:rPr>
        <w:t>1.61</w:t>
      </w:r>
      <w:r>
        <w:rPr>
          <w:rFonts w:ascii="Times New Roman" w:hAnsi="Times New Roman" w:eastAsia="宋体" w:cs="Times New Roman"/>
          <w:sz w:val="24"/>
          <w:szCs w:val="24"/>
        </w:rPr>
        <w:t>%；不可贸易品有效汇率上月</w:t>
      </w:r>
      <w:r>
        <w:rPr>
          <w:rFonts w:hint="eastAsia" w:ascii="Times New Roman" w:hAnsi="Times New Roman" w:eastAsia="宋体" w:cs="Times New Roman"/>
          <w:sz w:val="24"/>
          <w:szCs w:val="24"/>
        </w:rPr>
        <w:t>升值0.30</w:t>
      </w:r>
      <w:r>
        <w:rPr>
          <w:rFonts w:ascii="Times New Roman" w:hAnsi="Times New Roman" w:eastAsia="宋体" w:cs="Times New Roman"/>
          <w:sz w:val="24"/>
          <w:szCs w:val="24"/>
        </w:rPr>
        <w:t>%，上年同比贬值</w:t>
      </w:r>
      <w:r>
        <w:rPr>
          <w:rFonts w:hint="eastAsia" w:ascii="Times New Roman" w:hAnsi="Times New Roman" w:eastAsia="宋体" w:cs="Times New Roman"/>
          <w:sz w:val="24"/>
          <w:szCs w:val="24"/>
        </w:rPr>
        <w:t>1.29</w:t>
      </w:r>
      <w:r>
        <w:rPr>
          <w:rFonts w:ascii="Times New Roman" w:hAnsi="Times New Roman" w:eastAsia="宋体" w:cs="Times New Roman"/>
          <w:sz w:val="24"/>
          <w:szCs w:val="24"/>
        </w:rPr>
        <w:t>%。</w:t>
      </w:r>
      <w:r>
        <w:rPr>
          <w:rFonts w:hint="eastAsia" w:ascii="Times New Roman" w:hAnsi="Times New Roman" w:eastAsia="宋体" w:cs="Times New Roman"/>
          <w:sz w:val="24"/>
          <w:szCs w:val="24"/>
        </w:rPr>
        <w:t>可贸易品和不可贸易品环比升值幅度与加总基本一致，但是同比贬值幅度略高于加总情形。</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b/>
          <w:sz w:val="24"/>
          <w:szCs w:val="24"/>
        </w:rPr>
        <w:t>分行业来看，多数行业呈现环比升值和同比贬值趋势。</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月31个行业</w:t>
      </w:r>
      <w:r>
        <w:rPr>
          <w:rFonts w:ascii="Times New Roman" w:hAnsi="Times New Roman" w:eastAsia="宋体" w:cs="Times New Roman"/>
          <w:sz w:val="24"/>
          <w:szCs w:val="24"/>
        </w:rPr>
        <w:t>基于增加值人民币有效汇率</w:t>
      </w:r>
      <w:r>
        <w:rPr>
          <w:rFonts w:hint="eastAsia" w:ascii="Times New Roman" w:hAnsi="Times New Roman" w:eastAsia="宋体" w:cs="Times New Roman"/>
          <w:sz w:val="24"/>
          <w:szCs w:val="24"/>
        </w:rPr>
        <w:t>上月</w:t>
      </w:r>
      <w:r>
        <w:rPr>
          <w:rFonts w:ascii="Times New Roman" w:hAnsi="Times New Roman" w:eastAsia="宋体" w:cs="Times New Roman"/>
          <w:sz w:val="24"/>
          <w:szCs w:val="24"/>
        </w:rPr>
        <w:t>环比</w:t>
      </w:r>
      <w:r>
        <w:rPr>
          <w:rFonts w:hint="eastAsia" w:ascii="Times New Roman" w:hAnsi="Times New Roman" w:eastAsia="宋体" w:cs="Times New Roman"/>
          <w:sz w:val="24"/>
          <w:szCs w:val="24"/>
        </w:rPr>
        <w:t>升值态势和加总以及BIS有效汇率升值</w:t>
      </w:r>
      <w:r>
        <w:rPr>
          <w:rFonts w:ascii="Times New Roman" w:hAnsi="Times New Roman" w:eastAsia="宋体" w:cs="Times New Roman"/>
          <w:sz w:val="24"/>
          <w:szCs w:val="24"/>
        </w:rPr>
        <w:t>态势</w:t>
      </w:r>
      <w:r>
        <w:rPr>
          <w:rFonts w:hint="eastAsia" w:ascii="Times New Roman" w:hAnsi="Times New Roman" w:eastAsia="宋体" w:cs="Times New Roman"/>
          <w:sz w:val="24"/>
          <w:szCs w:val="24"/>
        </w:rPr>
        <w:t>一致，27个行业上年同比和加总以及有效汇率贬值态势一致（表1和表2）；</w:t>
      </w:r>
      <w:r>
        <w:rPr>
          <w:rFonts w:ascii="Times New Roman" w:hAnsi="Times New Roman" w:eastAsia="宋体" w:cs="Times New Roman"/>
          <w:sz w:val="24"/>
          <w:szCs w:val="24"/>
        </w:rPr>
        <w:t>环比最大差异为</w:t>
      </w:r>
      <w:r>
        <w:rPr>
          <w:rFonts w:hint="eastAsia" w:ascii="Times New Roman" w:hAnsi="Times New Roman" w:eastAsia="宋体" w:cs="Times New Roman"/>
          <w:sz w:val="24"/>
          <w:szCs w:val="24"/>
        </w:rPr>
        <w:t>1.91</w:t>
      </w:r>
      <w:r>
        <w:rPr>
          <w:rFonts w:ascii="Times New Roman" w:hAnsi="Times New Roman" w:eastAsia="宋体" w:cs="Times New Roman"/>
          <w:sz w:val="24"/>
          <w:szCs w:val="24"/>
        </w:rPr>
        <w:t>个百分点，同比最大差异为</w:t>
      </w:r>
      <w:r>
        <w:rPr>
          <w:rFonts w:hint="eastAsia" w:ascii="Times New Roman" w:hAnsi="Times New Roman" w:eastAsia="宋体" w:cs="Times New Roman"/>
          <w:sz w:val="24"/>
          <w:szCs w:val="24"/>
        </w:rPr>
        <w:t>7.93</w:t>
      </w:r>
      <w:r>
        <w:rPr>
          <w:rFonts w:ascii="Times New Roman" w:hAnsi="Times New Roman" w:eastAsia="宋体" w:cs="Times New Roman"/>
          <w:sz w:val="24"/>
          <w:szCs w:val="24"/>
        </w:rPr>
        <w:t>个百分点。环比</w:t>
      </w:r>
      <w:r>
        <w:rPr>
          <w:rFonts w:hint="eastAsia" w:ascii="Times New Roman" w:hAnsi="Times New Roman" w:eastAsia="宋体" w:cs="Times New Roman"/>
          <w:sz w:val="24"/>
          <w:szCs w:val="24"/>
        </w:rPr>
        <w:t>升值</w:t>
      </w:r>
      <w:r>
        <w:rPr>
          <w:rFonts w:ascii="Times New Roman" w:hAnsi="Times New Roman" w:eastAsia="宋体" w:cs="Times New Roman"/>
          <w:sz w:val="24"/>
          <w:szCs w:val="24"/>
        </w:rPr>
        <w:t>幅度最高的三个行业为 “</w:t>
      </w:r>
      <w:r>
        <w:rPr>
          <w:rFonts w:hint="eastAsia" w:ascii="Times New Roman" w:hAnsi="Times New Roman" w:eastAsia="宋体" w:cs="Times New Roman"/>
          <w:sz w:val="24"/>
          <w:szCs w:val="24"/>
        </w:rPr>
        <w:t>皮革</w:t>
      </w:r>
      <w:r>
        <w:rPr>
          <w:rFonts w:ascii="Times New Roman" w:hAnsi="Times New Roman" w:eastAsia="宋体" w:cs="Times New Roman"/>
          <w:sz w:val="24"/>
          <w:szCs w:val="24"/>
        </w:rPr>
        <w:t>,皮革制品和鞋业”、 “</w:t>
      </w:r>
      <w:r>
        <w:rPr>
          <w:rFonts w:hint="eastAsia" w:ascii="Times New Roman" w:hAnsi="Times New Roman" w:eastAsia="宋体" w:cs="Times New Roman"/>
          <w:sz w:val="24"/>
          <w:szCs w:val="24"/>
        </w:rPr>
        <w:t>纺织材料和纺织制品业</w:t>
      </w:r>
      <w:r>
        <w:rPr>
          <w:rFonts w:ascii="Times New Roman" w:hAnsi="Times New Roman" w:eastAsia="宋体" w:cs="Times New Roman"/>
          <w:sz w:val="24"/>
          <w:szCs w:val="24"/>
        </w:rPr>
        <w:t>”、 “</w:t>
      </w:r>
      <w:r>
        <w:rPr>
          <w:rFonts w:hint="eastAsia" w:ascii="Times New Roman" w:hAnsi="Times New Roman" w:eastAsia="宋体" w:cs="Times New Roman"/>
          <w:sz w:val="24"/>
          <w:szCs w:val="24"/>
        </w:rPr>
        <w:t>石农林牧渔业</w:t>
      </w:r>
      <w:r>
        <w:rPr>
          <w:rFonts w:ascii="Times New Roman" w:hAnsi="Times New Roman" w:eastAsia="宋体" w:cs="Times New Roman"/>
          <w:sz w:val="24"/>
          <w:szCs w:val="24"/>
        </w:rPr>
        <w:t>”，环比</w:t>
      </w:r>
      <w:r>
        <w:rPr>
          <w:rFonts w:hint="eastAsia" w:ascii="Times New Roman" w:hAnsi="Times New Roman" w:eastAsia="宋体" w:cs="Times New Roman"/>
          <w:sz w:val="24"/>
          <w:szCs w:val="24"/>
        </w:rPr>
        <w:t>升值幅度最低</w:t>
      </w:r>
      <w:r>
        <w:rPr>
          <w:rFonts w:ascii="Times New Roman" w:hAnsi="Times New Roman" w:eastAsia="宋体" w:cs="Times New Roman"/>
          <w:sz w:val="24"/>
          <w:szCs w:val="24"/>
        </w:rPr>
        <w:t>的三个行业为“</w:t>
      </w:r>
      <w:r>
        <w:rPr>
          <w:rFonts w:hint="eastAsia" w:ascii="Times New Roman" w:hAnsi="Times New Roman" w:eastAsia="宋体" w:cs="Times New Roman"/>
          <w:sz w:val="24"/>
          <w:szCs w:val="24"/>
        </w:rPr>
        <w:t>航空运输业</w:t>
      </w:r>
      <w:r>
        <w:rPr>
          <w:rFonts w:ascii="Times New Roman" w:hAnsi="Times New Roman" w:eastAsia="宋体" w:cs="Times New Roman"/>
          <w:sz w:val="24"/>
          <w:szCs w:val="24"/>
        </w:rPr>
        <w:t>”、“</w:t>
      </w:r>
      <w:r>
        <w:rPr>
          <w:rFonts w:hint="eastAsia" w:ascii="Times New Roman" w:hAnsi="Times New Roman" w:eastAsia="宋体" w:cs="Times New Roman"/>
          <w:sz w:val="24"/>
          <w:szCs w:val="24"/>
        </w:rPr>
        <w:t>公共管理和国防业；强制性社会保障</w:t>
      </w:r>
      <w:r>
        <w:rPr>
          <w:rFonts w:ascii="Times New Roman" w:hAnsi="Times New Roman" w:eastAsia="宋体" w:cs="Times New Roman"/>
          <w:sz w:val="24"/>
          <w:szCs w:val="24"/>
        </w:rPr>
        <w:t>”、“</w:t>
      </w:r>
      <w:r>
        <w:rPr>
          <w:rFonts w:hint="eastAsia" w:ascii="Times New Roman" w:hAnsi="Times New Roman" w:eastAsia="宋体" w:cs="Times New Roman"/>
          <w:sz w:val="24"/>
          <w:szCs w:val="24"/>
        </w:rPr>
        <w:t>教育</w:t>
      </w:r>
      <w:r>
        <w:rPr>
          <w:rFonts w:ascii="Times New Roman" w:hAnsi="Times New Roman" w:eastAsia="宋体" w:cs="Times New Roman"/>
          <w:sz w:val="24"/>
          <w:szCs w:val="24"/>
        </w:rPr>
        <w:t>”。同比贬值幅度最</w:t>
      </w:r>
      <w:r>
        <w:rPr>
          <w:rFonts w:hint="eastAsia" w:ascii="Times New Roman" w:hAnsi="Times New Roman" w:eastAsia="宋体" w:cs="Times New Roman"/>
          <w:sz w:val="24"/>
          <w:szCs w:val="24"/>
        </w:rPr>
        <w:t>高</w:t>
      </w:r>
      <w:r>
        <w:rPr>
          <w:rFonts w:ascii="Times New Roman" w:hAnsi="Times New Roman" w:eastAsia="宋体" w:cs="Times New Roman"/>
          <w:sz w:val="24"/>
          <w:szCs w:val="24"/>
        </w:rPr>
        <w:t>的三个行业为“</w:t>
      </w:r>
      <w:r>
        <w:rPr>
          <w:rFonts w:hint="eastAsia" w:ascii="Times New Roman" w:hAnsi="Times New Roman" w:eastAsia="宋体" w:cs="Times New Roman"/>
          <w:sz w:val="24"/>
          <w:szCs w:val="24"/>
        </w:rPr>
        <w:t>电气和光学设备制造业</w:t>
      </w:r>
      <w:r>
        <w:rPr>
          <w:rFonts w:ascii="Times New Roman" w:hAnsi="Times New Roman" w:eastAsia="宋体" w:cs="Times New Roman"/>
          <w:sz w:val="24"/>
          <w:szCs w:val="24"/>
        </w:rPr>
        <w:t>”、“</w:t>
      </w:r>
      <w:r>
        <w:rPr>
          <w:rFonts w:hint="eastAsia" w:ascii="Times New Roman" w:hAnsi="Times New Roman" w:eastAsia="宋体" w:cs="Times New Roman"/>
          <w:sz w:val="24"/>
          <w:szCs w:val="24"/>
        </w:rPr>
        <w:t>公共管理和国防业；强制性社会保障</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设备制造业</w:t>
      </w:r>
      <w:r>
        <w:rPr>
          <w:rFonts w:ascii="Times New Roman" w:hAnsi="Times New Roman" w:eastAsia="宋体" w:cs="Times New Roman"/>
          <w:sz w:val="24"/>
          <w:szCs w:val="24"/>
        </w:rPr>
        <w:t>”，同</w:t>
      </w:r>
      <w:r>
        <w:rPr>
          <w:rFonts w:hint="eastAsia" w:ascii="Times New Roman" w:hAnsi="Times New Roman" w:eastAsia="宋体" w:cs="Times New Roman"/>
          <w:sz w:val="24"/>
          <w:szCs w:val="24"/>
        </w:rPr>
        <w:t>比升值幅度最高</w:t>
      </w:r>
      <w:r>
        <w:rPr>
          <w:rFonts w:ascii="Times New Roman" w:hAnsi="Times New Roman" w:eastAsia="宋体" w:cs="Times New Roman"/>
          <w:sz w:val="24"/>
          <w:szCs w:val="24"/>
        </w:rPr>
        <w:t>的三个行业为 “</w:t>
      </w:r>
      <w:r>
        <w:rPr>
          <w:rFonts w:hint="eastAsia" w:ascii="Times New Roman" w:hAnsi="Times New Roman" w:eastAsia="宋体" w:cs="Times New Roman"/>
          <w:sz w:val="24"/>
          <w:szCs w:val="24"/>
        </w:rPr>
        <w:t>采矿和采石业</w:t>
      </w:r>
      <w:r>
        <w:rPr>
          <w:rFonts w:ascii="Times New Roman" w:hAnsi="Times New Roman" w:eastAsia="宋体" w:cs="Times New Roman"/>
          <w:sz w:val="24"/>
          <w:szCs w:val="24"/>
        </w:rPr>
        <w:t>”、 “</w:t>
      </w:r>
      <w:r>
        <w:rPr>
          <w:rFonts w:hint="eastAsia" w:ascii="Times New Roman" w:hAnsi="Times New Roman" w:eastAsia="宋体" w:cs="Times New Roman"/>
          <w:sz w:val="24"/>
          <w:szCs w:val="24"/>
        </w:rPr>
        <w:t>皮革</w:t>
      </w:r>
      <w:r>
        <w:rPr>
          <w:rFonts w:ascii="Times New Roman" w:hAnsi="Times New Roman" w:eastAsia="宋体" w:cs="Times New Roman"/>
          <w:sz w:val="24"/>
          <w:szCs w:val="24"/>
        </w:rPr>
        <w:t>,皮革制品和鞋业”、“</w:t>
      </w:r>
      <w:r>
        <w:rPr>
          <w:rFonts w:hint="eastAsia" w:ascii="Times New Roman" w:hAnsi="Times New Roman" w:eastAsia="宋体" w:cs="Times New Roman"/>
          <w:sz w:val="24"/>
          <w:szCs w:val="24"/>
        </w:rPr>
        <w:t>农林牧渔业</w:t>
      </w:r>
      <w:r>
        <w:rPr>
          <w:rFonts w:ascii="Times New Roman" w:hAnsi="Times New Roman" w:eastAsia="宋体" w:cs="Times New Roman"/>
          <w:sz w:val="24"/>
          <w:szCs w:val="24"/>
        </w:rPr>
        <w:t>”。</w:t>
      </w:r>
    </w:p>
    <w:p>
      <w:pPr>
        <w:spacing w:line="360" w:lineRule="auto"/>
        <w:ind w:firstLine="420"/>
        <w:jc w:val="right"/>
        <w:rPr>
          <w:rFonts w:ascii="Times New Roman" w:hAnsi="Times New Roman" w:eastAsia="宋体" w:cs="Times New Roman"/>
          <w:sz w:val="24"/>
          <w:szCs w:val="24"/>
        </w:rPr>
      </w:pPr>
    </w:p>
    <w:p>
      <w:pPr>
        <w:spacing w:line="360" w:lineRule="auto"/>
        <w:ind w:firstLine="420"/>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（完整版数据请访问：</w:t>
      </w:r>
      <w:r>
        <w:fldChar w:fldCharType="begin"/>
      </w:r>
      <w:r>
        <w:instrText xml:space="preserve">HYPERLINK "http://iwep.org.cn/iwepheer/"</w:instrText>
      </w:r>
      <w:r>
        <w:fldChar w:fldCharType="separate"/>
      </w:r>
      <w:r>
        <w:rPr>
          <w:rStyle w:val="8"/>
          <w:rFonts w:ascii="Times New Roman" w:hAnsi="Times New Roman" w:eastAsia="宋体" w:cs="Times New Roman"/>
          <w:sz w:val="24"/>
          <w:szCs w:val="24"/>
        </w:rPr>
        <w:t>http://iwep.org.cn/iwepheer/</w:t>
      </w:r>
      <w:r>
        <w:fldChar w:fldCharType="end"/>
      </w:r>
      <w:r>
        <w:rPr>
          <w:rFonts w:hint="eastAsia" w:ascii="Times New Roman" w:hAnsi="Times New Roman" w:eastAsia="宋体" w:cs="Times New Roman"/>
          <w:sz w:val="24"/>
          <w:szCs w:val="24"/>
        </w:rPr>
        <w:t>）</w:t>
      </w:r>
    </w:p>
    <w:p>
      <w:pPr>
        <w:pStyle w:val="2"/>
        <w:keepNext/>
        <w:jc w:val="center"/>
        <w:rPr>
          <w:rFonts w:ascii="黑体" w:hAnsi="黑体" w:cs="Times New Roman"/>
        </w:rPr>
      </w:pPr>
      <w:r>
        <w:rPr>
          <w:rFonts w:ascii="黑体" w:hAnsi="黑体" w:cs="Times New Roman"/>
        </w:rPr>
        <w:t xml:space="preserve">图 </w:t>
      </w:r>
      <w:r>
        <w:rPr>
          <w:rFonts w:ascii="黑体" w:hAnsi="黑体" w:cs="Times New Roman"/>
        </w:rPr>
        <w:fldChar w:fldCharType="begin"/>
      </w:r>
      <w:r>
        <w:rPr>
          <w:rFonts w:ascii="黑体" w:hAnsi="黑体" w:cs="Times New Roman"/>
        </w:rPr>
        <w:instrText xml:space="preserve"> SEQ 图 \* ARABIC </w:instrText>
      </w:r>
      <w:r>
        <w:rPr>
          <w:rFonts w:ascii="黑体" w:hAnsi="黑体" w:cs="Times New Roman"/>
        </w:rPr>
        <w:fldChar w:fldCharType="separate"/>
      </w:r>
      <w:r>
        <w:rPr>
          <w:rFonts w:ascii="黑体" w:hAnsi="黑体" w:cs="Times New Roman"/>
        </w:rPr>
        <w:t>1</w:t>
      </w:r>
      <w:r>
        <w:rPr>
          <w:rFonts w:ascii="黑体" w:hAnsi="黑体" w:cs="Times New Roman"/>
        </w:rPr>
        <w:fldChar w:fldCharType="end"/>
      </w:r>
      <w:r>
        <w:rPr>
          <w:rFonts w:ascii="黑体" w:hAnsi="黑体" w:cs="Times New Roman"/>
        </w:rPr>
        <w:t xml:space="preserve"> 加总的基于增加值人民币有效汇率与主要传统有效汇率指数走势比较</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0" distR="0">
            <wp:extent cx="5274310" cy="3156585"/>
            <wp:effectExtent l="19050" t="0" r="2540" b="0"/>
            <wp:docPr id="1" name="图片 1" descr="C:\Users\Administrator\AppData\Local\Temp\15902860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1590286045(1).png"/>
                    <pic:cNvPicPr>
                      <a:picLocks noChangeAspect="1" noChangeArrowheads="1"/>
                    </pic:cNvPicPr>
                  </pic:nvPicPr>
                  <pic:blipFill>
                    <a:blip r:embed="rId5" cstate="print"/>
                    <a:srcRect/>
                    <a:stretch>
                      <a:fillRect/>
                    </a:stretch>
                  </pic:blipFill>
                  <pic:spPr>
                    <a:xfrm>
                      <a:off x="0" y="0"/>
                      <a:ext cx="5274310" cy="3156741"/>
                    </a:xfrm>
                    <a:prstGeom prst="rect">
                      <a:avLst/>
                    </a:prstGeom>
                    <a:noFill/>
                    <a:ln w="9525">
                      <a:noFill/>
                      <a:miter lim="800000"/>
                      <a:headEnd/>
                      <a:tailEnd/>
                    </a:ln>
                  </pic:spPr>
                </pic:pic>
              </a:graphicData>
            </a:graphic>
          </wp:inline>
        </w:drawing>
      </w:r>
    </w:p>
    <w:p>
      <w:pPr>
        <w:spacing w:line="360" w:lineRule="auto"/>
        <w:ind w:firstLine="420"/>
        <w:rPr>
          <w:rFonts w:ascii="Times New Roman" w:hAnsi="Times New Roman" w:eastAsia="宋体" w:cs="Times New Roman"/>
          <w:sz w:val="18"/>
          <w:szCs w:val="18"/>
        </w:rPr>
      </w:pPr>
      <w:r>
        <w:rPr>
          <w:rFonts w:hint="eastAsia" w:ascii="Times New Roman" w:hAnsi="Times New Roman" w:eastAsia="宋体" w:cs="Times New Roman"/>
          <w:sz w:val="18"/>
          <w:szCs w:val="18"/>
        </w:rPr>
        <w:t>说明：上升代表升值，下降代表贬值，增加值和</w:t>
      </w:r>
      <w:r>
        <w:rPr>
          <w:rFonts w:ascii="Times New Roman" w:hAnsi="Times New Roman" w:eastAsia="宋体" w:cs="Times New Roman"/>
          <w:sz w:val="18"/>
          <w:szCs w:val="18"/>
        </w:rPr>
        <w:t>BIS</w:t>
      </w:r>
      <w:r>
        <w:rPr>
          <w:rFonts w:hint="eastAsia" w:ascii="Times New Roman" w:hAnsi="Times New Roman" w:eastAsia="宋体" w:cs="Times New Roman"/>
          <w:sz w:val="18"/>
          <w:szCs w:val="18"/>
        </w:rPr>
        <w:t>有效汇率基期为</w:t>
      </w:r>
      <w:r>
        <w:rPr>
          <w:rFonts w:ascii="Times New Roman" w:hAnsi="Times New Roman" w:eastAsia="宋体" w:cs="Times New Roman"/>
          <w:sz w:val="18"/>
          <w:szCs w:val="18"/>
        </w:rPr>
        <w:t>2010</w:t>
      </w:r>
      <w:r>
        <w:rPr>
          <w:rFonts w:hint="eastAsia" w:ascii="Times New Roman" w:hAnsi="Times New Roman" w:eastAsia="宋体" w:cs="Times New Roman"/>
          <w:sz w:val="18"/>
          <w:szCs w:val="18"/>
        </w:rPr>
        <w:t>年，人民币汇率指数基期为</w:t>
      </w:r>
      <w:r>
        <w:rPr>
          <w:rFonts w:ascii="Times New Roman" w:hAnsi="Times New Roman" w:eastAsia="宋体" w:cs="Times New Roman"/>
          <w:sz w:val="18"/>
          <w:szCs w:val="18"/>
        </w:rPr>
        <w:t>2014</w:t>
      </w:r>
      <w:r>
        <w:rPr>
          <w:rFonts w:hint="eastAsia" w:ascii="Times New Roman" w:hAnsi="Times New Roman" w:eastAsia="宋体" w:cs="Times New Roman"/>
          <w:sz w:val="18"/>
          <w:szCs w:val="18"/>
        </w:rPr>
        <w:t>年。人民币汇率指数也公布基于BIS货币篮子的数据，但这里仍然采用的是BIS公布的原始数据。</w:t>
      </w:r>
    </w:p>
    <w:p>
      <w:pPr>
        <w:spacing w:line="360" w:lineRule="auto"/>
        <w:ind w:firstLine="420"/>
        <w:rPr>
          <w:rFonts w:ascii="Times New Roman" w:hAnsi="Times New Roman" w:eastAsia="宋体" w:cs="Times New Roman"/>
          <w:sz w:val="18"/>
          <w:szCs w:val="18"/>
        </w:rPr>
      </w:pPr>
      <w:r>
        <w:rPr>
          <w:rFonts w:hint="eastAsia" w:ascii="Times New Roman" w:hAnsi="Times New Roman" w:eastAsia="宋体" w:cs="Times New Roman"/>
          <w:sz w:val="18"/>
          <w:szCs w:val="18"/>
        </w:rPr>
        <w:t>数据来源：IWEP-HEER数据库，CEIC</w:t>
      </w:r>
    </w:p>
    <w:p>
      <w:pPr>
        <w:spacing w:line="360" w:lineRule="auto"/>
        <w:rPr>
          <w:rFonts w:ascii="Times New Roman" w:hAnsi="Times New Roman" w:eastAsia="宋体" w:cs="Times New Roman"/>
          <w:sz w:val="24"/>
          <w:szCs w:val="24"/>
        </w:rPr>
      </w:pPr>
    </w:p>
    <w:p>
      <w:pPr>
        <w:pStyle w:val="2"/>
        <w:keepNext/>
        <w:jc w:val="center"/>
        <w:rPr>
          <w:rFonts w:ascii="黑体" w:hAnsi="黑体" w:cs="Times New Roman"/>
        </w:rPr>
      </w:pPr>
      <w:r>
        <w:rPr>
          <w:rFonts w:ascii="黑体" w:hAnsi="黑体" w:cs="Times New Roman"/>
        </w:rPr>
        <w:t xml:space="preserve">图 </w:t>
      </w:r>
      <w:r>
        <w:rPr>
          <w:rFonts w:ascii="黑体" w:hAnsi="黑体" w:cs="Times New Roman"/>
        </w:rPr>
        <w:fldChar w:fldCharType="begin"/>
      </w:r>
      <w:r>
        <w:rPr>
          <w:rFonts w:ascii="黑体" w:hAnsi="黑体" w:cs="Times New Roman"/>
        </w:rPr>
        <w:instrText xml:space="preserve"> SEQ 图 \* ARABIC </w:instrText>
      </w:r>
      <w:r>
        <w:rPr>
          <w:rFonts w:ascii="黑体" w:hAnsi="黑体" w:cs="Times New Roman"/>
        </w:rPr>
        <w:fldChar w:fldCharType="separate"/>
      </w:r>
      <w:r>
        <w:rPr>
          <w:rFonts w:ascii="黑体" w:hAnsi="黑体" w:cs="Times New Roman"/>
        </w:rPr>
        <w:t>2</w:t>
      </w:r>
      <w:r>
        <w:rPr>
          <w:rFonts w:ascii="黑体" w:hAnsi="黑体" w:cs="Times New Roman"/>
        </w:rPr>
        <w:fldChar w:fldCharType="end"/>
      </w:r>
      <w:r>
        <w:rPr>
          <w:rFonts w:ascii="黑体" w:hAnsi="黑体" w:cs="Times New Roman"/>
        </w:rPr>
        <w:t>基于增加值人民币有效汇率：可贸易品vs不可贸易品</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0" distR="0">
            <wp:extent cx="5274310" cy="3016250"/>
            <wp:effectExtent l="19050" t="0" r="2540" b="0"/>
            <wp:docPr id="3" name="图片 2" descr="C:\Users\Administrator\AppData\Local\Temp\15902860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AppData\Local\Temp\1590286077(1).png"/>
                    <pic:cNvPicPr>
                      <a:picLocks noChangeAspect="1" noChangeArrowheads="1"/>
                    </pic:cNvPicPr>
                  </pic:nvPicPr>
                  <pic:blipFill>
                    <a:blip r:embed="rId6" cstate="print"/>
                    <a:srcRect/>
                    <a:stretch>
                      <a:fillRect/>
                    </a:stretch>
                  </pic:blipFill>
                  <pic:spPr>
                    <a:xfrm>
                      <a:off x="0" y="0"/>
                      <a:ext cx="5274310" cy="3016369"/>
                    </a:xfrm>
                    <a:prstGeom prst="rect">
                      <a:avLst/>
                    </a:prstGeom>
                    <a:noFill/>
                    <a:ln w="9525">
                      <a:noFill/>
                      <a:miter lim="800000"/>
                      <a:headEnd/>
                      <a:tailEnd/>
                    </a:ln>
                  </pic:spPr>
                </pic:pic>
              </a:graphicData>
            </a:graphic>
          </wp:inline>
        </w:drawing>
      </w:r>
    </w:p>
    <w:p>
      <w:pPr>
        <w:spacing w:line="360" w:lineRule="auto"/>
        <w:ind w:firstLine="420"/>
        <w:rPr>
          <w:rFonts w:ascii="Times New Roman" w:hAnsi="Times New Roman" w:eastAsia="宋体" w:cs="Times New Roman"/>
          <w:sz w:val="18"/>
          <w:szCs w:val="18"/>
        </w:rPr>
      </w:pPr>
      <w:r>
        <w:rPr>
          <w:rFonts w:hint="eastAsia" w:ascii="Times New Roman" w:hAnsi="Times New Roman" w:eastAsia="宋体" w:cs="Times New Roman"/>
          <w:sz w:val="18"/>
          <w:szCs w:val="18"/>
        </w:rPr>
        <w:t>说明：上升代表升值，下降代表贬值。</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18"/>
          <w:szCs w:val="18"/>
        </w:rPr>
        <w:t>数据来源：IWEP-HEER数据库。</w:t>
      </w:r>
    </w:p>
    <w:p>
      <w:pPr>
        <w:spacing w:line="360" w:lineRule="auto"/>
        <w:ind w:firstLine="420"/>
        <w:rPr>
          <w:rFonts w:ascii="Times New Roman" w:hAnsi="Times New Roman" w:eastAsia="宋体" w:cs="Times New Roman"/>
          <w:sz w:val="24"/>
          <w:szCs w:val="24"/>
        </w:rPr>
      </w:pPr>
    </w:p>
    <w:p>
      <w:pPr>
        <w:pStyle w:val="2"/>
        <w:keepNext/>
        <w:jc w:val="center"/>
      </w:pPr>
      <w:r>
        <w:t xml:space="preserve">表 </w:t>
      </w:r>
      <w:r>
        <w:fldChar w:fldCharType="begin"/>
      </w:r>
      <w:r>
        <w:instrText xml:space="preserve"> SEQ 表格 \* ARABIC </w:instrText>
      </w:r>
      <w:r>
        <w:fldChar w:fldCharType="separate"/>
      </w:r>
      <w:r>
        <w:t>1</w:t>
      </w:r>
      <w:r>
        <w:fldChar w:fldCharType="end"/>
      </w:r>
      <w:r>
        <w:t xml:space="preserve"> </w:t>
      </w:r>
      <w:r>
        <w:rPr>
          <w:rFonts w:hint="eastAsia"/>
        </w:rPr>
        <w:t>分行业基于增加值人民币有效汇率环比变动（2020年4月）</w:t>
      </w:r>
    </w:p>
    <w:tbl>
      <w:tblPr>
        <w:tblStyle w:val="6"/>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5"/>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行业</w:t>
            </w:r>
          </w:p>
        </w:tc>
        <w:tc>
          <w:tcPr>
            <w:tcW w:w="1080" w:type="dxa"/>
            <w:shd w:val="clear" w:color="auto" w:fill="auto"/>
            <w:noWrap/>
            <w:vAlign w:val="center"/>
          </w:tcPr>
          <w:p>
            <w:pPr>
              <w:widowControl/>
              <w:jc w:val="center"/>
              <w:rPr>
                <w:rFonts w:ascii="宋体" w:hAnsi="宋体" w:eastAsia="宋体" w:cs="Times New Roman"/>
                <w:b/>
                <w:bCs/>
                <w:color w:val="000000"/>
                <w:kern w:val="0"/>
                <w:szCs w:val="21"/>
              </w:rPr>
            </w:pPr>
            <w:r>
              <w:rPr>
                <w:rFonts w:ascii="宋体" w:hAnsi="宋体" w:eastAsia="宋体" w:cs="Times New Roman"/>
                <w:b/>
                <w:bCs/>
                <w:color w:val="000000"/>
                <w:kern w:val="0"/>
                <w:szCs w:val="21"/>
              </w:rPr>
              <w:t>上月环比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皮革,皮革制品和鞋业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纺织材料和纺织制品业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00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农林牧渔业</w:t>
            </w:r>
          </w:p>
        </w:tc>
        <w:tc>
          <w:tcPr>
            <w:tcW w:w="1080" w:type="dxa"/>
            <w:shd w:val="clear" w:color="000000" w:fill="00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采矿和采石业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内陆运输业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其他非金属矿物制品业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木材、木材制品业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零售贸易（除了汽车和摩托车）,家用商品修理</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石油加工、炼焦及核燃料加工业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食品、饮料和烟草业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电力、燃气、水的供应业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金属和金属制品业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其他制造业（含回收利用）</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橡胶和塑料制品业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运输设备业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建筑业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水路运输业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纸浆、纸、纸张、印刷和出版业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化学品和化工产品制造业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批发贸易和经纪贸易(除了汽车和摩托车)</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其他支持和辅助运输业；旅行社活动</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设备制造业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邮政通讯业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其他社区、社会和个人服务</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房地产业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卫生和社会工作</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金融业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租赁和商务服务业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电气和光学设备制造业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酒店和餐饮业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教育</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公共管理和国防业；强制性社会保障</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航空运输业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-0.22%</w:t>
            </w:r>
          </w:p>
        </w:tc>
      </w:tr>
    </w:tbl>
    <w:p>
      <w:pPr>
        <w:spacing w:line="360" w:lineRule="auto"/>
        <w:ind w:firstLine="420"/>
        <w:rPr>
          <w:rFonts w:ascii="Times New Roman" w:hAnsi="Times New Roman" w:eastAsia="宋体" w:cs="Times New Roman"/>
          <w:sz w:val="18"/>
          <w:szCs w:val="18"/>
        </w:rPr>
      </w:pPr>
      <w:r>
        <w:rPr>
          <w:rFonts w:hint="eastAsia" w:ascii="Times New Roman" w:hAnsi="Times New Roman" w:eastAsia="宋体" w:cs="Times New Roman"/>
          <w:sz w:val="18"/>
          <w:szCs w:val="18"/>
        </w:rPr>
        <w:t>说明：绿色阴影为第一产业，黄色阴影为第二产业，白色为第三产业，下表同。</w:t>
      </w:r>
    </w:p>
    <w:p>
      <w:pPr>
        <w:spacing w:line="360" w:lineRule="auto"/>
        <w:ind w:firstLine="420"/>
        <w:rPr>
          <w:rFonts w:ascii="Times New Roman" w:hAnsi="Times New Roman" w:eastAsia="宋体" w:cs="Times New Roman"/>
          <w:sz w:val="18"/>
          <w:szCs w:val="18"/>
        </w:rPr>
      </w:pPr>
      <w:r>
        <w:rPr>
          <w:rFonts w:hint="eastAsia" w:ascii="Times New Roman" w:hAnsi="Times New Roman" w:eastAsia="宋体" w:cs="Times New Roman"/>
          <w:sz w:val="18"/>
          <w:szCs w:val="18"/>
        </w:rPr>
        <w:t>数据来源：IWEP-HEER数据库，作者计算，下表同。</w:t>
      </w:r>
    </w:p>
    <w:p>
      <w:pPr>
        <w:spacing w:line="360" w:lineRule="auto"/>
        <w:ind w:firstLine="420"/>
        <w:rPr>
          <w:rFonts w:ascii="Times New Roman" w:hAnsi="Times New Roman" w:eastAsia="宋体" w:cs="Times New Roman"/>
          <w:sz w:val="18"/>
          <w:szCs w:val="18"/>
        </w:rPr>
      </w:pPr>
    </w:p>
    <w:p>
      <w:pPr>
        <w:spacing w:line="360" w:lineRule="auto"/>
        <w:ind w:firstLine="420"/>
        <w:rPr>
          <w:rFonts w:ascii="Times New Roman" w:hAnsi="Times New Roman" w:eastAsia="宋体" w:cs="Times New Roman"/>
          <w:sz w:val="18"/>
          <w:szCs w:val="18"/>
        </w:rPr>
      </w:pPr>
    </w:p>
    <w:p>
      <w:pPr>
        <w:spacing w:line="360" w:lineRule="auto"/>
        <w:ind w:firstLine="420"/>
        <w:rPr>
          <w:rFonts w:ascii="Times New Roman" w:hAnsi="Times New Roman" w:eastAsia="宋体" w:cs="Times New Roman"/>
          <w:sz w:val="18"/>
          <w:szCs w:val="18"/>
        </w:rPr>
      </w:pPr>
    </w:p>
    <w:p>
      <w:pPr>
        <w:spacing w:line="360" w:lineRule="auto"/>
        <w:ind w:firstLine="420"/>
        <w:rPr>
          <w:rFonts w:ascii="Times New Roman" w:hAnsi="Times New Roman" w:eastAsia="宋体" w:cs="Times New Roman"/>
          <w:sz w:val="18"/>
          <w:szCs w:val="18"/>
        </w:rPr>
      </w:pPr>
    </w:p>
    <w:p>
      <w:pPr>
        <w:pStyle w:val="2"/>
        <w:keepNext/>
        <w:jc w:val="center"/>
      </w:pPr>
      <w:r>
        <w:t>表</w:t>
      </w:r>
      <w:r>
        <w:fldChar w:fldCharType="begin"/>
      </w:r>
      <w:r>
        <w:instrText xml:space="preserve"> SEQ 表格 \* ARABIC </w:instrText>
      </w:r>
      <w:r>
        <w:fldChar w:fldCharType="separate"/>
      </w:r>
      <w:r>
        <w:t>2</w:t>
      </w:r>
      <w:r>
        <w:fldChar w:fldCharType="end"/>
      </w:r>
      <w:r>
        <w:t xml:space="preserve"> </w:t>
      </w:r>
      <w:r>
        <w:rPr>
          <w:rFonts w:hint="eastAsia"/>
        </w:rPr>
        <w:t>分行业基于增加值人民币有效汇率同比变动（2020年4月）</w:t>
      </w:r>
    </w:p>
    <w:tbl>
      <w:tblPr>
        <w:tblStyle w:val="6"/>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5"/>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Times New Roman"/>
                <w:b/>
                <w:bCs/>
                <w:color w:val="000000"/>
                <w:kern w:val="0"/>
                <w:szCs w:val="21"/>
              </w:rPr>
            </w:pPr>
            <w:r>
              <w:rPr>
                <w:rFonts w:ascii="宋体" w:hAnsi="宋体" w:eastAsia="宋体" w:cs="Times New Roman"/>
                <w:b/>
                <w:bCs/>
                <w:color w:val="000000"/>
                <w:kern w:val="0"/>
                <w:szCs w:val="21"/>
              </w:rPr>
              <w:t>行业</w:t>
            </w:r>
          </w:p>
        </w:tc>
        <w:tc>
          <w:tcPr>
            <w:tcW w:w="1080" w:type="dxa"/>
            <w:shd w:val="clear" w:color="auto" w:fill="auto"/>
            <w:noWrap/>
            <w:vAlign w:val="center"/>
          </w:tcPr>
          <w:p>
            <w:pPr>
              <w:widowControl/>
              <w:jc w:val="center"/>
              <w:rPr>
                <w:rFonts w:ascii="宋体" w:hAnsi="宋体" w:eastAsia="宋体" w:cs="Times New Roman"/>
                <w:b/>
                <w:bCs/>
                <w:color w:val="000000"/>
                <w:kern w:val="0"/>
                <w:szCs w:val="21"/>
              </w:rPr>
            </w:pPr>
            <w:r>
              <w:rPr>
                <w:rFonts w:ascii="宋体" w:hAnsi="宋体" w:eastAsia="宋体" w:cs="Times New Roman"/>
                <w:b/>
                <w:bCs/>
                <w:color w:val="000000"/>
                <w:kern w:val="0"/>
                <w:szCs w:val="21"/>
              </w:rPr>
              <w:t>上年同比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电气和光学设备制造业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公共管理和国防业；强制性社会保障</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设备制造业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水路运输业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租赁和商务服务业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航空运输业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运输设备业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橡胶和塑料制品业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化学品和化工产品制造业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批发贸易和经纪贸易(除了汽车和摩托车)</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金融业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其他支持和辅助运输业；旅行社活动</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其他社区、社会和个人服务</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纸浆、纸、纸张、印刷和出版业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金属和金属制品业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其他制造业（含回收利用）</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房地产业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酒店和餐饮业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卫生和社会工作</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石油加工、炼焦及核燃料加工业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其他非金属矿物制品业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建筑业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电力、燃气、水的供应业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食品、饮料和烟草业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邮政通讯业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木材、木材制品业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教育</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内陆运输业</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零售贸易（除了汽车和摩托车）,家用商品修理</w:t>
            </w:r>
          </w:p>
        </w:tc>
        <w:tc>
          <w:tcPr>
            <w:tcW w:w="1080"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纺织材料和纺织制品业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00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农林牧渔业</w:t>
            </w:r>
          </w:p>
        </w:tc>
        <w:tc>
          <w:tcPr>
            <w:tcW w:w="1080" w:type="dxa"/>
            <w:shd w:val="clear" w:color="000000" w:fill="00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皮革,皮革制品和鞋业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9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采矿和采石业</w:t>
            </w:r>
          </w:p>
        </w:tc>
        <w:tc>
          <w:tcPr>
            <w:tcW w:w="1080" w:type="dxa"/>
            <w:shd w:val="clear" w:color="000000" w:fill="FFFF00"/>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5.24%</w:t>
            </w:r>
          </w:p>
        </w:tc>
      </w:tr>
    </w:tbl>
    <w:p>
      <w:pPr>
        <w:spacing w:line="360" w:lineRule="auto"/>
        <w:jc w:val="center"/>
        <w:rPr>
          <w:rFonts w:ascii="Times New Roman" w:hAnsi="Times New Roman" w:eastAsia="宋体" w:cs="Times New Roman"/>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8745" distR="118745" simplePos="0" relativeHeight="251658240" behindDoc="1" locked="0" layoutInCell="1" allowOverlap="0">
              <wp:simplePos x="0" y="0"/>
              <wp:positionH relativeFrom="page">
                <wp:posOffset>1143000</wp:posOffset>
              </wp:positionH>
              <wp:positionV relativeFrom="page">
                <wp:posOffset>480695</wp:posOffset>
              </wp:positionV>
              <wp:extent cx="5949950" cy="270510"/>
              <wp:effectExtent l="0" t="0" r="12700" b="15240"/>
              <wp:wrapSquare wrapText="bothSides"/>
              <wp:docPr id="197" name="矩形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4472C4"/>
                      </a:solidFill>
                      <a:ln w="12700" cap="flat" cmpd="sng" algn="ctr">
                        <a:noFill/>
                        <a:prstDash val="solid"/>
                        <a:miter lim="800000"/>
                      </a:ln>
                      <a:effectLst/>
                    </wps:spPr>
                    <wps:txbx>
                      <w:txbxContent>
                        <w:sdt>
                          <w:sdtPr>
                            <w:rPr>
                              <w:rFonts w:ascii="黑体" w:hAnsi="黑体" w:eastAsia="黑体" w:cs="Times New Roman"/>
                              <w:b/>
                              <w:caps/>
                              <w:color w:val="FFFFFF" w:themeColor="background1"/>
                              <w:sz w:val="28"/>
                              <w:szCs w:val="28"/>
                            </w:rPr>
                            <w:alias w:val="标题"/>
                            <w:id w:val="1189017394"/>
                            <w:text/>
                          </w:sdtPr>
                          <w:sdtEndPr>
                            <w:rPr>
                              <w:rFonts w:ascii="黑体" w:hAnsi="黑体" w:eastAsia="黑体" w:cs="Times New Roman"/>
                              <w:b/>
                              <w:caps/>
                              <w:color w:val="FFFFFF" w:themeColor="background1"/>
                              <w:sz w:val="28"/>
                              <w:szCs w:val="28"/>
                            </w:rPr>
                          </w:sdtEndPr>
                          <w:sdtContent>
                            <w:p>
                              <w:pPr>
                                <w:pStyle w:val="5"/>
                                <w:jc w:val="right"/>
                                <w:rPr>
                                  <w:caps/>
                                  <w:color w:val="FFFFFF" w:themeColor="background1"/>
                                </w:rPr>
                              </w:pPr>
                              <w:r>
                                <w:rPr>
                                  <w:rFonts w:ascii="黑体" w:hAnsi="黑体" w:eastAsia="黑体" w:cs="Times New Roman"/>
                                  <w:b/>
                                  <w:caps/>
                                  <w:color w:val="FFFFFF" w:themeColor="background1"/>
                                  <w:sz w:val="28"/>
                                  <w:szCs w:val="28"/>
                                </w:rPr>
                                <w:t>IWEP-HEER数据月报</w:t>
                              </w:r>
                            </w:p>
                          </w:sdtContent>
                        </w:sdt>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14:sizeRelH relativeFrom="margin">
                <wp14:pctWidth>100000</wp14:pctWidth>
              </wp14:sizeRelH>
              <wp14:sizeRelV relativeFrom="page">
                <wp14:pctHeight>2700</wp14:pctHeight>
              </wp14:sizeRelV>
            </wp:anchor>
          </w:drawing>
        </mc:Choice>
        <mc:Fallback>
          <w:pict>
            <v:rect id="_x0000_s1026" o:spid="_x0000_s1026" o:spt="1" style="position:absolute;left:0pt;margin-left:90pt;margin-top:37.85pt;height:21.3pt;width:468.5pt;mso-position-horizontal-relative:page;mso-position-vertical-relative:page;mso-wrap-distance-bottom:0pt;mso-wrap-distance-left:9.35pt;mso-wrap-distance-right:9.35pt;mso-wrap-distance-top:0pt;z-index:-251658240;v-text-anchor:middle;mso-width-relative:margin;mso-height-relative:page;mso-width-percent:1000;mso-height-percent:27;" fillcolor="#4472C4" filled="t" stroked="f" coordsize="21600,21600" o:allowoverlap="f" o:gfxdata="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zcaAdgAAAALAQAADwAAAAAAAAABACAAAAAiAAAAZHJzL2Rvd25yZXYueG1sUEsBAhQAFAAAAAgA&#10;h07iQDUWpC9eAgAAmgQAAA4AAAAAAAAAAQAgAAAAJwEAAGRycy9lMm9Eb2MueG1sUEsFBgAAAAAG&#10;AAYAWQEAAPcFAAAAAA==&#10;">
              <v:fill on="t" focussize="0,0"/>
              <v:stroke on="f" weight="1pt" miterlimit="8" joinstyle="miter"/>
              <v:imagedata o:title=""/>
              <o:lock v:ext="edit" aspectratio="f"/>
              <v:textbox style="mso-fit-shape-to-text:t;">
                <w:txbxContent>
                  <w:sdt>
                    <w:sdtPr>
                      <w:rPr>
                        <w:rFonts w:ascii="黑体" w:hAnsi="黑体" w:eastAsia="黑体" w:cs="Times New Roman"/>
                        <w:b/>
                        <w:caps/>
                        <w:color w:val="FFFFFF" w:themeColor="background1"/>
                        <w:sz w:val="28"/>
                        <w:szCs w:val="28"/>
                      </w:rPr>
                      <w:alias w:val="标题"/>
                      <w:id w:val="1189017394"/>
                      <w:text/>
                    </w:sdtPr>
                    <w:sdtEndPr>
                      <w:rPr>
                        <w:rFonts w:ascii="黑体" w:hAnsi="黑体" w:eastAsia="黑体" w:cs="Times New Roman"/>
                        <w:b/>
                        <w:caps/>
                        <w:color w:val="FFFFFF" w:themeColor="background1"/>
                        <w:sz w:val="28"/>
                        <w:szCs w:val="28"/>
                      </w:rPr>
                    </w:sdtEndPr>
                    <w:sdtContent>
                      <w:p>
                        <w:pPr>
                          <w:pStyle w:val="5"/>
                          <w:jc w:val="right"/>
                          <w:rPr>
                            <w:caps/>
                            <w:color w:val="FFFFFF" w:themeColor="background1"/>
                          </w:rPr>
                        </w:pPr>
                        <w:r>
                          <w:rPr>
                            <w:rFonts w:ascii="黑体" w:hAnsi="黑体" w:eastAsia="黑体" w:cs="Times New Roman"/>
                            <w:b/>
                            <w:caps/>
                            <w:color w:val="FFFFFF" w:themeColor="background1"/>
                            <w:sz w:val="28"/>
                            <w:szCs w:val="28"/>
                          </w:rPr>
                          <w:t>IWEP-HEER数据月报</w:t>
                        </w:r>
                      </w:p>
                    </w:sdtContent>
                  </w:sdt>
                </w:txbxContent>
              </v:textbox>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555"/>
    <w:rsid w:val="00030BDE"/>
    <w:rsid w:val="000556CA"/>
    <w:rsid w:val="0007302D"/>
    <w:rsid w:val="000C3BFF"/>
    <w:rsid w:val="000E6CCC"/>
    <w:rsid w:val="000F7043"/>
    <w:rsid w:val="00147E12"/>
    <w:rsid w:val="001657EF"/>
    <w:rsid w:val="001A0A21"/>
    <w:rsid w:val="001A5BBB"/>
    <w:rsid w:val="001C2CCA"/>
    <w:rsid w:val="001D5E53"/>
    <w:rsid w:val="001F430C"/>
    <w:rsid w:val="002034D7"/>
    <w:rsid w:val="002041B5"/>
    <w:rsid w:val="00210905"/>
    <w:rsid w:val="00227C68"/>
    <w:rsid w:val="00267C28"/>
    <w:rsid w:val="002E1669"/>
    <w:rsid w:val="002E5988"/>
    <w:rsid w:val="002F79CC"/>
    <w:rsid w:val="0030403D"/>
    <w:rsid w:val="0033361A"/>
    <w:rsid w:val="0033543A"/>
    <w:rsid w:val="00364641"/>
    <w:rsid w:val="003B0439"/>
    <w:rsid w:val="003E3C05"/>
    <w:rsid w:val="003E40C8"/>
    <w:rsid w:val="00420555"/>
    <w:rsid w:val="00420EED"/>
    <w:rsid w:val="00435F59"/>
    <w:rsid w:val="00484922"/>
    <w:rsid w:val="004A5A27"/>
    <w:rsid w:val="004C61F1"/>
    <w:rsid w:val="004F5D81"/>
    <w:rsid w:val="00503137"/>
    <w:rsid w:val="00506398"/>
    <w:rsid w:val="00510CF4"/>
    <w:rsid w:val="00520AE0"/>
    <w:rsid w:val="005401B4"/>
    <w:rsid w:val="00581E14"/>
    <w:rsid w:val="00590700"/>
    <w:rsid w:val="005A3D37"/>
    <w:rsid w:val="005B7DA5"/>
    <w:rsid w:val="005C5B25"/>
    <w:rsid w:val="005F1EFD"/>
    <w:rsid w:val="005F29DE"/>
    <w:rsid w:val="006002D1"/>
    <w:rsid w:val="00626C75"/>
    <w:rsid w:val="0063138E"/>
    <w:rsid w:val="006617DC"/>
    <w:rsid w:val="0066223B"/>
    <w:rsid w:val="0066259E"/>
    <w:rsid w:val="00673ABE"/>
    <w:rsid w:val="00696DBB"/>
    <w:rsid w:val="006B6952"/>
    <w:rsid w:val="006C0701"/>
    <w:rsid w:val="006C3B74"/>
    <w:rsid w:val="0070118B"/>
    <w:rsid w:val="0072145D"/>
    <w:rsid w:val="00735A5F"/>
    <w:rsid w:val="0077323E"/>
    <w:rsid w:val="00795BFE"/>
    <w:rsid w:val="007C10A0"/>
    <w:rsid w:val="007C1E64"/>
    <w:rsid w:val="0087353E"/>
    <w:rsid w:val="00884DA6"/>
    <w:rsid w:val="008B2ABC"/>
    <w:rsid w:val="00930401"/>
    <w:rsid w:val="00934FD1"/>
    <w:rsid w:val="0093749D"/>
    <w:rsid w:val="00963E97"/>
    <w:rsid w:val="00971781"/>
    <w:rsid w:val="00973962"/>
    <w:rsid w:val="009A228C"/>
    <w:rsid w:val="009D10D5"/>
    <w:rsid w:val="009F1DB0"/>
    <w:rsid w:val="00A0337F"/>
    <w:rsid w:val="00A15F73"/>
    <w:rsid w:val="00A522C7"/>
    <w:rsid w:val="00A62132"/>
    <w:rsid w:val="00A62A9C"/>
    <w:rsid w:val="00A76629"/>
    <w:rsid w:val="00A768B8"/>
    <w:rsid w:val="00A952E7"/>
    <w:rsid w:val="00AB160F"/>
    <w:rsid w:val="00AF6541"/>
    <w:rsid w:val="00B35328"/>
    <w:rsid w:val="00B43D85"/>
    <w:rsid w:val="00BA7900"/>
    <w:rsid w:val="00BB5ED9"/>
    <w:rsid w:val="00BE4C5C"/>
    <w:rsid w:val="00BF02B2"/>
    <w:rsid w:val="00C45ABA"/>
    <w:rsid w:val="00C5237E"/>
    <w:rsid w:val="00C57878"/>
    <w:rsid w:val="00C968D0"/>
    <w:rsid w:val="00CB292B"/>
    <w:rsid w:val="00CC1B60"/>
    <w:rsid w:val="00CC52EF"/>
    <w:rsid w:val="00CD328F"/>
    <w:rsid w:val="00CE77E0"/>
    <w:rsid w:val="00D44972"/>
    <w:rsid w:val="00DB1B58"/>
    <w:rsid w:val="00DD286C"/>
    <w:rsid w:val="00E25128"/>
    <w:rsid w:val="00E5333D"/>
    <w:rsid w:val="00E6154C"/>
    <w:rsid w:val="00E64D05"/>
    <w:rsid w:val="00E86EE5"/>
    <w:rsid w:val="00E8756C"/>
    <w:rsid w:val="00EC5B11"/>
    <w:rsid w:val="00EE143F"/>
    <w:rsid w:val="00F16000"/>
    <w:rsid w:val="00F16984"/>
    <w:rsid w:val="00F30C3C"/>
    <w:rsid w:val="00FB13AE"/>
    <w:rsid w:val="00FB312C"/>
    <w:rsid w:val="00FB699C"/>
    <w:rsid w:val="00FC627E"/>
    <w:rsid w:val="1016162C"/>
    <w:rsid w:val="1AB778FC"/>
    <w:rsid w:val="274B52E3"/>
    <w:rsid w:val="2CED4316"/>
    <w:rsid w:val="4C372485"/>
    <w:rsid w:val="565A0026"/>
    <w:rsid w:val="65EB2A13"/>
    <w:rsid w:val="664622BD"/>
    <w:rsid w:val="7BCC4B9B"/>
    <w:rsid w:val="7C1A214A"/>
    <w:rsid w:val="7DE50D2D"/>
    <w:rsid w:val="7E3F0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character" w:customStyle="1" w:styleId="13">
    <w:name w:val="Mention"/>
    <w:basedOn w:val="7"/>
    <w:semiHidden/>
    <w:unhideWhenUsed/>
    <w:qFormat/>
    <w:uiPriority w:val="99"/>
    <w:rPr>
      <w:color w:val="2B579A"/>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A8717-A56D-4572-AE16-25CB93AE6CD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372</Words>
  <Characters>2121</Characters>
  <Lines>17</Lines>
  <Paragraphs>4</Paragraphs>
  <TotalTime>11</TotalTime>
  <ScaleCrop>false</ScaleCrop>
  <LinksUpToDate>false</LinksUpToDate>
  <CharactersWithSpaces>2489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2020-05-24T02:04:00Z</dcterms:created>
  <dc:creator>Panpan Yang</dc:creator>
  <cp:lastModifiedBy>shelley ni</cp:lastModifiedBy>
  <dcterms:modified xsi:type="dcterms:W3CDTF">2020-06-01T02:33:45Z</dcterms:modified>
  <dc:title>IWEP-HEER数据月报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