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97" w:rsidRDefault="00963E97">
      <w:pPr>
        <w:spacing w:line="360" w:lineRule="auto"/>
        <w:jc w:val="center"/>
        <w:rPr>
          <w:rFonts w:ascii="Times New Roman" w:eastAsia="宋体" w:hAnsi="Times New Roman" w:cs="Times New Roman"/>
          <w:sz w:val="24"/>
          <w:szCs w:val="24"/>
        </w:rPr>
      </w:pPr>
    </w:p>
    <w:p w:rsidR="00963E97" w:rsidRDefault="00DD286C">
      <w:pPr>
        <w:spacing w:line="36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基于增加值人民币有效汇率数据月报（</w:t>
      </w:r>
      <w:r>
        <w:rPr>
          <w:rFonts w:ascii="Times New Roman" w:eastAsia="宋体" w:hAnsi="Times New Roman" w:cs="Times New Roman"/>
          <w:b/>
          <w:sz w:val="30"/>
          <w:szCs w:val="30"/>
        </w:rPr>
        <w:t>20</w:t>
      </w:r>
      <w:r w:rsidR="00EE143F">
        <w:rPr>
          <w:rFonts w:ascii="Times New Roman" w:eastAsia="宋体" w:hAnsi="Times New Roman" w:cs="Times New Roman" w:hint="eastAsia"/>
          <w:b/>
          <w:sz w:val="30"/>
          <w:szCs w:val="30"/>
        </w:rPr>
        <w:t>20</w:t>
      </w:r>
      <w:r>
        <w:rPr>
          <w:rFonts w:ascii="Times New Roman" w:eastAsia="宋体" w:hAnsi="Times New Roman" w:cs="Times New Roman"/>
          <w:b/>
          <w:sz w:val="30"/>
          <w:szCs w:val="30"/>
        </w:rPr>
        <w:t>年</w:t>
      </w:r>
      <w:r w:rsidR="002E5988">
        <w:rPr>
          <w:rFonts w:ascii="Times New Roman" w:eastAsia="宋体" w:hAnsi="Times New Roman" w:cs="Times New Roman" w:hint="eastAsia"/>
          <w:b/>
          <w:sz w:val="30"/>
          <w:szCs w:val="30"/>
        </w:rPr>
        <w:t>1</w:t>
      </w:r>
      <w:r>
        <w:rPr>
          <w:rFonts w:ascii="Times New Roman" w:eastAsia="宋体" w:hAnsi="Times New Roman" w:cs="Times New Roman"/>
          <w:b/>
          <w:sz w:val="30"/>
          <w:szCs w:val="30"/>
        </w:rPr>
        <w:t>月）</w:t>
      </w:r>
    </w:p>
    <w:p w:rsidR="00963E97" w:rsidRDefault="00963E97">
      <w:pPr>
        <w:spacing w:line="360" w:lineRule="auto"/>
        <w:jc w:val="center"/>
        <w:rPr>
          <w:rFonts w:ascii="Times New Roman" w:eastAsia="宋体" w:hAnsi="Times New Roman" w:cs="Times New Roman"/>
          <w:b/>
          <w:sz w:val="30"/>
          <w:szCs w:val="30"/>
        </w:rPr>
      </w:pP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b/>
          <w:sz w:val="24"/>
          <w:szCs w:val="24"/>
        </w:rPr>
        <w:t>20</w:t>
      </w:r>
      <w:r w:rsidR="00EE143F">
        <w:rPr>
          <w:rFonts w:ascii="Times New Roman" w:eastAsia="宋体" w:hAnsi="Times New Roman" w:cs="Times New Roman" w:hint="eastAsia"/>
          <w:b/>
          <w:sz w:val="24"/>
          <w:szCs w:val="24"/>
        </w:rPr>
        <w:t>20</w:t>
      </w:r>
      <w:r>
        <w:rPr>
          <w:rFonts w:ascii="Times New Roman" w:eastAsia="宋体" w:hAnsi="Times New Roman" w:cs="Times New Roman" w:hint="eastAsia"/>
          <w:b/>
          <w:sz w:val="24"/>
          <w:szCs w:val="24"/>
        </w:rPr>
        <w:t>年</w:t>
      </w:r>
      <w:r w:rsidR="002E5988">
        <w:rPr>
          <w:rFonts w:ascii="Times New Roman" w:eastAsia="宋体" w:hAnsi="Times New Roman" w:cs="Times New Roman" w:hint="eastAsia"/>
          <w:b/>
          <w:sz w:val="24"/>
          <w:szCs w:val="24"/>
        </w:rPr>
        <w:t>1</w:t>
      </w:r>
      <w:r>
        <w:rPr>
          <w:rFonts w:ascii="Times New Roman" w:eastAsia="宋体" w:hAnsi="Times New Roman" w:cs="Times New Roman" w:hint="eastAsia"/>
          <w:b/>
          <w:sz w:val="24"/>
          <w:szCs w:val="24"/>
        </w:rPr>
        <w:t>月，加总的基于增加值人民币有效汇率上月环比</w:t>
      </w:r>
      <w:r w:rsidR="00EE143F">
        <w:rPr>
          <w:rFonts w:ascii="Times New Roman" w:eastAsia="宋体" w:hAnsi="Times New Roman" w:cs="Times New Roman" w:hint="eastAsia"/>
          <w:b/>
          <w:sz w:val="24"/>
          <w:szCs w:val="24"/>
        </w:rPr>
        <w:t>升值</w:t>
      </w:r>
      <w:r w:rsidR="00EE143F">
        <w:rPr>
          <w:rFonts w:ascii="Times New Roman" w:eastAsia="宋体" w:hAnsi="Times New Roman" w:cs="Times New Roman" w:hint="eastAsia"/>
          <w:b/>
          <w:sz w:val="24"/>
          <w:szCs w:val="24"/>
        </w:rPr>
        <w:t>1.29</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，上年同比贬值</w:t>
      </w:r>
      <w:r w:rsidR="00EE143F">
        <w:rPr>
          <w:rFonts w:ascii="Times New Roman" w:eastAsia="宋体" w:hAnsi="Times New Roman" w:cs="Times New Roman" w:hint="eastAsia"/>
          <w:b/>
          <w:sz w:val="24"/>
          <w:szCs w:val="24"/>
        </w:rPr>
        <w:t>0.88</w:t>
      </w:r>
      <w:r>
        <w:rPr>
          <w:rFonts w:ascii="Times New Roman" w:eastAsia="宋体" w:hAnsi="Times New Roman" w:cs="Times New Roman"/>
          <w:b/>
          <w:sz w:val="24"/>
          <w:szCs w:val="24"/>
        </w:rPr>
        <w:t>%</w:t>
      </w:r>
      <w:r>
        <w:rPr>
          <w:rFonts w:ascii="Times New Roman" w:eastAsia="宋体" w:hAnsi="Times New Roman" w:cs="Times New Roman"/>
          <w:sz w:val="24"/>
          <w:szCs w:val="24"/>
        </w:rPr>
        <w:t>（图</w:t>
      </w:r>
      <w:r>
        <w:rPr>
          <w:rFonts w:ascii="Times New Roman" w:eastAsia="宋体" w:hAnsi="Times New Roman" w:cs="Times New Roman"/>
          <w:sz w:val="24"/>
          <w:szCs w:val="24"/>
        </w:rPr>
        <w:t>1</w:t>
      </w:r>
      <w:r>
        <w:rPr>
          <w:rFonts w:ascii="Times New Roman" w:eastAsia="宋体" w:hAnsi="Times New Roman" w:cs="Times New Roman"/>
          <w:sz w:val="24"/>
          <w:szCs w:val="24"/>
        </w:rPr>
        <w:t>）。同一时期，</w:t>
      </w:r>
      <w:r>
        <w:rPr>
          <w:rFonts w:ascii="Times New Roman" w:eastAsia="宋体" w:hAnsi="Times New Roman" w:cs="Times New Roman"/>
          <w:sz w:val="24"/>
          <w:szCs w:val="24"/>
        </w:rPr>
        <w:t>BIS</w:t>
      </w:r>
      <w:r>
        <w:rPr>
          <w:rFonts w:ascii="Times New Roman" w:eastAsia="宋体" w:hAnsi="Times New Roman" w:cs="Times New Roman"/>
          <w:sz w:val="24"/>
          <w:szCs w:val="24"/>
        </w:rPr>
        <w:t>人民币名义有效汇率上月环比</w:t>
      </w:r>
      <w:r w:rsidR="00EE143F">
        <w:rPr>
          <w:rFonts w:ascii="Times New Roman" w:eastAsia="宋体" w:hAnsi="Times New Roman" w:cs="Times New Roman" w:hint="eastAsia"/>
          <w:sz w:val="24"/>
          <w:szCs w:val="24"/>
        </w:rPr>
        <w:t>升值</w:t>
      </w:r>
      <w:r w:rsidR="00EE143F">
        <w:rPr>
          <w:rFonts w:ascii="Times New Roman" w:eastAsia="宋体" w:hAnsi="Times New Roman" w:cs="Times New Roman" w:hint="eastAsia"/>
          <w:sz w:val="24"/>
          <w:szCs w:val="24"/>
        </w:rPr>
        <w:t>1.10%</w:t>
      </w:r>
      <w:r>
        <w:rPr>
          <w:rFonts w:ascii="Times New Roman" w:eastAsia="宋体" w:hAnsi="Times New Roman" w:cs="Times New Roman"/>
          <w:sz w:val="24"/>
          <w:szCs w:val="24"/>
        </w:rPr>
        <w:t>，上年同比贬值</w:t>
      </w:r>
      <w:r w:rsidR="00EE143F">
        <w:rPr>
          <w:rFonts w:ascii="Times New Roman" w:eastAsia="宋体" w:hAnsi="Times New Roman" w:cs="Times New Roman" w:hint="eastAsia"/>
          <w:sz w:val="24"/>
          <w:szCs w:val="24"/>
        </w:rPr>
        <w:t>0.93</w:t>
      </w:r>
      <w:r>
        <w:rPr>
          <w:rFonts w:ascii="Times New Roman" w:eastAsia="宋体" w:hAnsi="Times New Roman" w:cs="Times New Roman"/>
          <w:sz w:val="24"/>
          <w:szCs w:val="24"/>
        </w:rPr>
        <w:t>%</w:t>
      </w:r>
      <w:r>
        <w:rPr>
          <w:rFonts w:ascii="Times New Roman" w:eastAsia="宋体" w:hAnsi="Times New Roman" w:cs="Times New Roman"/>
          <w:sz w:val="24"/>
          <w:szCs w:val="24"/>
        </w:rPr>
        <w:t>，增加值有效汇率</w:t>
      </w:r>
      <w:r>
        <w:rPr>
          <w:rFonts w:ascii="Times New Roman" w:eastAsia="宋体" w:hAnsi="Times New Roman" w:cs="Times New Roman" w:hint="eastAsia"/>
          <w:sz w:val="24"/>
          <w:szCs w:val="24"/>
        </w:rPr>
        <w:t>与</w:t>
      </w:r>
      <w:r>
        <w:rPr>
          <w:rFonts w:ascii="Times New Roman" w:eastAsia="宋体" w:hAnsi="Times New Roman" w:cs="Times New Roman"/>
          <w:sz w:val="24"/>
          <w:szCs w:val="24"/>
        </w:rPr>
        <w:t>BIS</w:t>
      </w:r>
      <w:r>
        <w:rPr>
          <w:rFonts w:ascii="Times New Roman" w:eastAsia="宋体" w:hAnsi="Times New Roman" w:cs="Times New Roman" w:hint="eastAsia"/>
          <w:sz w:val="24"/>
          <w:szCs w:val="24"/>
        </w:rPr>
        <w:t>有效汇率走势整体基本相当</w:t>
      </w:r>
      <w:r>
        <w:rPr>
          <w:rFonts w:ascii="Times New Roman" w:eastAsia="宋体" w:hAnsi="Times New Roman" w:cs="Times New Roman"/>
          <w:sz w:val="24"/>
          <w:szCs w:val="24"/>
        </w:rPr>
        <w:t>。</w:t>
      </w:r>
      <w:r>
        <w:rPr>
          <w:rFonts w:ascii="Times New Roman" w:eastAsia="宋体" w:hAnsi="Times New Roman" w:cs="Times New Roman" w:hint="eastAsia"/>
          <w:sz w:val="24"/>
          <w:szCs w:val="24"/>
        </w:rPr>
        <w:t>其他代表性传统汇率走势如下：</w:t>
      </w:r>
      <w:r>
        <w:rPr>
          <w:rFonts w:ascii="Times New Roman" w:eastAsia="宋体" w:hAnsi="Times New Roman" w:cs="Times New Roman"/>
          <w:sz w:val="24"/>
          <w:szCs w:val="24"/>
        </w:rPr>
        <w:t>BIS</w:t>
      </w:r>
      <w:r>
        <w:rPr>
          <w:rFonts w:ascii="Times New Roman" w:eastAsia="宋体" w:hAnsi="Times New Roman" w:cs="Times New Roman"/>
          <w:sz w:val="24"/>
          <w:szCs w:val="24"/>
        </w:rPr>
        <w:t>人民币实际有效汇率上月环比</w:t>
      </w:r>
      <w:r w:rsidR="00EE143F">
        <w:rPr>
          <w:rFonts w:ascii="Times New Roman" w:eastAsia="宋体" w:hAnsi="Times New Roman" w:cs="Times New Roman" w:hint="eastAsia"/>
          <w:sz w:val="24"/>
          <w:szCs w:val="24"/>
        </w:rPr>
        <w:t>升值</w:t>
      </w:r>
      <w:r w:rsidR="00EE143F">
        <w:rPr>
          <w:rFonts w:ascii="Times New Roman" w:eastAsia="宋体" w:hAnsi="Times New Roman" w:cs="Times New Roman" w:hint="eastAsia"/>
          <w:sz w:val="24"/>
          <w:szCs w:val="24"/>
        </w:rPr>
        <w:t>2.04</w:t>
      </w:r>
      <w:r>
        <w:rPr>
          <w:rFonts w:ascii="Times New Roman" w:eastAsia="宋体" w:hAnsi="Times New Roman" w:cs="Times New Roman"/>
          <w:sz w:val="24"/>
          <w:szCs w:val="24"/>
        </w:rPr>
        <w:t>%</w:t>
      </w:r>
      <w:r>
        <w:rPr>
          <w:rFonts w:ascii="Times New Roman" w:eastAsia="宋体" w:hAnsi="Times New Roman" w:cs="Times New Roman"/>
          <w:sz w:val="24"/>
          <w:szCs w:val="24"/>
        </w:rPr>
        <w:t>，上年同比</w:t>
      </w:r>
      <w:r>
        <w:rPr>
          <w:rFonts w:ascii="Times New Roman" w:eastAsia="宋体" w:hAnsi="Times New Roman" w:cs="Times New Roman" w:hint="eastAsia"/>
          <w:sz w:val="24"/>
          <w:szCs w:val="24"/>
        </w:rPr>
        <w:t>升值</w:t>
      </w:r>
      <w:r w:rsidR="00EE143F">
        <w:rPr>
          <w:rFonts w:ascii="Times New Roman" w:eastAsia="宋体" w:hAnsi="Times New Roman" w:cs="Times New Roman" w:hint="eastAsia"/>
          <w:sz w:val="24"/>
          <w:szCs w:val="24"/>
        </w:rPr>
        <w:t>2.22</w:t>
      </w:r>
      <w:r>
        <w:rPr>
          <w:rFonts w:ascii="Times New Roman" w:eastAsia="宋体" w:hAnsi="Times New Roman" w:cs="Times New Roman"/>
          <w:sz w:val="24"/>
          <w:szCs w:val="24"/>
        </w:rPr>
        <w:t>%</w:t>
      </w:r>
      <w:r>
        <w:rPr>
          <w:rFonts w:ascii="Times New Roman" w:eastAsia="宋体" w:hAnsi="Times New Roman" w:cs="Times New Roman"/>
          <w:sz w:val="24"/>
          <w:szCs w:val="24"/>
        </w:rPr>
        <w:t>；基于</w:t>
      </w:r>
      <w:r>
        <w:rPr>
          <w:rFonts w:ascii="Times New Roman" w:eastAsia="宋体" w:hAnsi="Times New Roman" w:cs="Times New Roman"/>
          <w:sz w:val="24"/>
          <w:szCs w:val="24"/>
        </w:rPr>
        <w:t xml:space="preserve">CFETS </w:t>
      </w:r>
      <w:r>
        <w:rPr>
          <w:rFonts w:ascii="Times New Roman" w:eastAsia="宋体" w:hAnsi="Times New Roman" w:cs="Times New Roman"/>
          <w:sz w:val="24"/>
          <w:szCs w:val="24"/>
        </w:rPr>
        <w:t>货币篮子人民币汇率指数上月环比</w:t>
      </w:r>
      <w:r w:rsidR="00EE143F">
        <w:rPr>
          <w:rFonts w:ascii="Times New Roman" w:eastAsia="宋体" w:hAnsi="Times New Roman" w:cs="Times New Roman" w:hint="eastAsia"/>
          <w:sz w:val="24"/>
          <w:szCs w:val="24"/>
        </w:rPr>
        <w:t>升值</w:t>
      </w:r>
      <w:r w:rsidR="00EE143F">
        <w:rPr>
          <w:rFonts w:ascii="Times New Roman" w:eastAsia="宋体" w:hAnsi="Times New Roman" w:cs="Times New Roman" w:hint="eastAsia"/>
          <w:sz w:val="24"/>
          <w:szCs w:val="24"/>
        </w:rPr>
        <w:t>1.76</w:t>
      </w:r>
      <w:r>
        <w:rPr>
          <w:rFonts w:ascii="Times New Roman" w:eastAsia="宋体" w:hAnsi="Times New Roman" w:cs="Times New Roman"/>
          <w:sz w:val="24"/>
          <w:szCs w:val="24"/>
        </w:rPr>
        <w:t>%</w:t>
      </w:r>
      <w:r>
        <w:rPr>
          <w:rFonts w:ascii="Times New Roman" w:eastAsia="宋体" w:hAnsi="Times New Roman" w:cs="Times New Roman"/>
          <w:sz w:val="24"/>
          <w:szCs w:val="24"/>
        </w:rPr>
        <w:t>，上年同比贬值</w:t>
      </w:r>
      <w:r w:rsidR="00EE143F">
        <w:rPr>
          <w:rFonts w:ascii="Times New Roman" w:eastAsia="宋体" w:hAnsi="Times New Roman" w:cs="Times New Roman" w:hint="eastAsia"/>
          <w:sz w:val="24"/>
          <w:szCs w:val="24"/>
        </w:rPr>
        <w:t>1.34</w:t>
      </w:r>
      <w:r>
        <w:rPr>
          <w:rFonts w:ascii="Times New Roman" w:eastAsia="宋体" w:hAnsi="Times New Roman" w:cs="Times New Roman"/>
          <w:sz w:val="24"/>
          <w:szCs w:val="24"/>
        </w:rPr>
        <w:t>%</w:t>
      </w:r>
      <w:r>
        <w:rPr>
          <w:rFonts w:ascii="Times New Roman" w:eastAsia="宋体" w:hAnsi="Times New Roman" w:cs="Times New Roman"/>
          <w:sz w:val="24"/>
          <w:szCs w:val="24"/>
        </w:rPr>
        <w:t>；基于</w:t>
      </w:r>
      <w:r>
        <w:rPr>
          <w:rFonts w:ascii="Times New Roman" w:eastAsia="宋体" w:hAnsi="Times New Roman" w:cs="Times New Roman"/>
          <w:sz w:val="24"/>
          <w:szCs w:val="24"/>
        </w:rPr>
        <w:t>SDR</w:t>
      </w:r>
      <w:r>
        <w:rPr>
          <w:rFonts w:ascii="Times New Roman" w:eastAsia="宋体" w:hAnsi="Times New Roman" w:cs="Times New Roman"/>
          <w:sz w:val="24"/>
          <w:szCs w:val="24"/>
        </w:rPr>
        <w:t>货币篮子人民币指数上月环比</w:t>
      </w:r>
      <w:r w:rsidR="00EE143F">
        <w:rPr>
          <w:rFonts w:ascii="Times New Roman" w:eastAsia="宋体" w:hAnsi="Times New Roman" w:cs="Times New Roman" w:hint="eastAsia"/>
          <w:sz w:val="24"/>
          <w:szCs w:val="24"/>
        </w:rPr>
        <w:t>升值</w:t>
      </w:r>
      <w:r w:rsidR="00EE143F">
        <w:rPr>
          <w:rFonts w:ascii="Times New Roman" w:eastAsia="宋体" w:hAnsi="Times New Roman" w:cs="Times New Roman" w:hint="eastAsia"/>
          <w:sz w:val="24"/>
          <w:szCs w:val="24"/>
        </w:rPr>
        <w:t>1.67</w:t>
      </w:r>
      <w:r>
        <w:rPr>
          <w:rFonts w:ascii="Times New Roman" w:eastAsia="宋体" w:hAnsi="Times New Roman" w:cs="Times New Roman"/>
          <w:sz w:val="24"/>
          <w:szCs w:val="24"/>
        </w:rPr>
        <w:t>%</w:t>
      </w:r>
      <w:r>
        <w:rPr>
          <w:rFonts w:ascii="Times New Roman" w:eastAsia="宋体" w:hAnsi="Times New Roman" w:cs="Times New Roman"/>
          <w:sz w:val="24"/>
          <w:szCs w:val="24"/>
        </w:rPr>
        <w:t>，上年同比贬值</w:t>
      </w:r>
      <w:r w:rsidR="00BE4C5C">
        <w:rPr>
          <w:rFonts w:ascii="Times New Roman" w:eastAsia="宋体" w:hAnsi="Times New Roman" w:cs="Times New Roman" w:hint="eastAsia"/>
          <w:sz w:val="24"/>
          <w:szCs w:val="24"/>
        </w:rPr>
        <w:t>1.4</w:t>
      </w:r>
      <w:r w:rsidR="00EE143F">
        <w:rPr>
          <w:rFonts w:ascii="Times New Roman" w:eastAsia="宋体" w:hAnsi="Times New Roman" w:cs="Times New Roman" w:hint="eastAsia"/>
          <w:sz w:val="24"/>
          <w:szCs w:val="24"/>
        </w:rPr>
        <w:t>7</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基于增加值人民币有效汇率</w:t>
      </w:r>
      <w:r w:rsidR="00EE143F">
        <w:rPr>
          <w:rFonts w:ascii="Times New Roman" w:eastAsia="宋体" w:hAnsi="Times New Roman" w:cs="Times New Roman" w:hint="eastAsia"/>
          <w:sz w:val="24"/>
          <w:szCs w:val="24"/>
        </w:rPr>
        <w:t>环比升</w:t>
      </w:r>
      <w:r>
        <w:rPr>
          <w:rFonts w:ascii="Times New Roman" w:eastAsia="宋体" w:hAnsi="Times New Roman" w:cs="Times New Roman" w:hint="eastAsia"/>
          <w:sz w:val="24"/>
          <w:szCs w:val="24"/>
        </w:rPr>
        <w:t>值幅度</w:t>
      </w:r>
      <w:r w:rsidR="002E5988">
        <w:rPr>
          <w:rFonts w:ascii="Times New Roman" w:eastAsia="宋体" w:hAnsi="Times New Roman" w:cs="Times New Roman" w:hint="eastAsia"/>
          <w:sz w:val="24"/>
          <w:szCs w:val="24"/>
        </w:rPr>
        <w:t>介</w:t>
      </w:r>
      <w:r>
        <w:rPr>
          <w:rFonts w:ascii="Times New Roman" w:eastAsia="宋体" w:hAnsi="Times New Roman" w:cs="Times New Roman" w:hint="eastAsia"/>
          <w:sz w:val="24"/>
          <w:szCs w:val="24"/>
        </w:rPr>
        <w:t>于</w:t>
      </w:r>
      <w:r>
        <w:rPr>
          <w:rFonts w:ascii="Times New Roman" w:eastAsia="宋体" w:hAnsi="Times New Roman" w:cs="Times New Roman" w:hint="eastAsia"/>
          <w:sz w:val="24"/>
          <w:szCs w:val="24"/>
        </w:rPr>
        <w:t>BIS</w:t>
      </w:r>
      <w:r>
        <w:rPr>
          <w:rFonts w:ascii="Times New Roman" w:eastAsia="宋体" w:hAnsi="Times New Roman" w:cs="Times New Roman" w:hint="eastAsia"/>
          <w:sz w:val="24"/>
          <w:szCs w:val="24"/>
        </w:rPr>
        <w:t>与主要篮子货币之</w:t>
      </w:r>
      <w:r w:rsidR="00EE143F">
        <w:rPr>
          <w:rFonts w:ascii="Times New Roman" w:eastAsia="宋体" w:hAnsi="Times New Roman" w:cs="Times New Roman" w:hint="eastAsia"/>
          <w:sz w:val="24"/>
          <w:szCs w:val="24"/>
        </w:rPr>
        <w:t>间，同比贬值幅度略低于</w:t>
      </w:r>
      <w:r w:rsidR="00EE143F">
        <w:rPr>
          <w:rFonts w:ascii="Times New Roman" w:eastAsia="宋体" w:hAnsi="Times New Roman" w:cs="Times New Roman" w:hint="eastAsia"/>
          <w:sz w:val="24"/>
          <w:szCs w:val="24"/>
        </w:rPr>
        <w:t>BIS</w:t>
      </w:r>
      <w:r w:rsidR="00EE143F">
        <w:rPr>
          <w:rFonts w:ascii="Times New Roman" w:eastAsia="宋体" w:hAnsi="Times New Roman" w:cs="Times New Roman" w:hint="eastAsia"/>
          <w:sz w:val="24"/>
          <w:szCs w:val="24"/>
        </w:rPr>
        <w:t>与主要篮子货币。</w:t>
      </w: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hint="eastAsia"/>
          <w:b/>
          <w:sz w:val="24"/>
          <w:szCs w:val="24"/>
        </w:rPr>
        <w:t>分解来看，可贸易品和不可贸易品基于增加值人民币有效汇率也均贬值。</w:t>
      </w:r>
      <w:r>
        <w:rPr>
          <w:rFonts w:ascii="Times New Roman" w:eastAsia="宋体" w:hAnsi="Times New Roman" w:cs="Times New Roman"/>
          <w:sz w:val="24"/>
          <w:szCs w:val="24"/>
        </w:rPr>
        <w:t>可贸易品有效汇率上月</w:t>
      </w:r>
      <w:r w:rsidR="00EE143F">
        <w:rPr>
          <w:rFonts w:ascii="Times New Roman" w:eastAsia="宋体" w:hAnsi="Times New Roman" w:cs="Times New Roman" w:hint="eastAsia"/>
          <w:sz w:val="24"/>
          <w:szCs w:val="24"/>
        </w:rPr>
        <w:t>升值</w:t>
      </w:r>
      <w:r w:rsidR="00EE143F">
        <w:rPr>
          <w:rFonts w:ascii="Times New Roman" w:eastAsia="宋体" w:hAnsi="Times New Roman" w:cs="Times New Roman" w:hint="eastAsia"/>
          <w:sz w:val="24"/>
          <w:szCs w:val="24"/>
        </w:rPr>
        <w:t>1.33</w:t>
      </w:r>
      <w:r w:rsidR="002E5988">
        <w:rPr>
          <w:rFonts w:ascii="Times New Roman" w:eastAsia="宋体" w:hAnsi="Times New Roman" w:cs="Times New Roman" w:hint="eastAsia"/>
          <w:sz w:val="24"/>
          <w:szCs w:val="24"/>
        </w:rPr>
        <w:t>%</w:t>
      </w:r>
      <w:r>
        <w:rPr>
          <w:rFonts w:ascii="Times New Roman" w:eastAsia="宋体" w:hAnsi="Times New Roman" w:cs="Times New Roman"/>
          <w:sz w:val="24"/>
          <w:szCs w:val="24"/>
        </w:rPr>
        <w:t>，上年同比贬值</w:t>
      </w:r>
      <w:r w:rsidR="00EE143F">
        <w:rPr>
          <w:rFonts w:ascii="Times New Roman" w:eastAsia="宋体" w:hAnsi="Times New Roman" w:cs="Times New Roman" w:hint="eastAsia"/>
          <w:sz w:val="24"/>
          <w:szCs w:val="24"/>
        </w:rPr>
        <w:t>0.71</w:t>
      </w:r>
      <w:r>
        <w:rPr>
          <w:rFonts w:ascii="Times New Roman" w:eastAsia="宋体" w:hAnsi="Times New Roman" w:cs="Times New Roman"/>
          <w:sz w:val="24"/>
          <w:szCs w:val="24"/>
        </w:rPr>
        <w:t>%</w:t>
      </w:r>
      <w:r>
        <w:rPr>
          <w:rFonts w:ascii="Times New Roman" w:eastAsia="宋体" w:hAnsi="Times New Roman" w:cs="Times New Roman"/>
          <w:sz w:val="24"/>
          <w:szCs w:val="24"/>
        </w:rPr>
        <w:t>；不可贸易品有效汇率上月</w:t>
      </w:r>
      <w:r w:rsidR="00EE143F">
        <w:rPr>
          <w:rFonts w:ascii="Times New Roman" w:eastAsia="宋体" w:hAnsi="Times New Roman" w:cs="Times New Roman" w:hint="eastAsia"/>
          <w:sz w:val="24"/>
          <w:szCs w:val="24"/>
        </w:rPr>
        <w:t>升值</w:t>
      </w:r>
      <w:r w:rsidR="00EE143F">
        <w:rPr>
          <w:rFonts w:ascii="Times New Roman" w:eastAsia="宋体" w:hAnsi="Times New Roman" w:cs="Times New Roman" w:hint="eastAsia"/>
          <w:sz w:val="24"/>
          <w:szCs w:val="24"/>
        </w:rPr>
        <w:t>1.34</w:t>
      </w:r>
      <w:r>
        <w:rPr>
          <w:rFonts w:ascii="Times New Roman" w:eastAsia="宋体" w:hAnsi="Times New Roman" w:cs="Times New Roman"/>
          <w:sz w:val="24"/>
          <w:szCs w:val="24"/>
        </w:rPr>
        <w:t>%</w:t>
      </w:r>
      <w:r>
        <w:rPr>
          <w:rFonts w:ascii="Times New Roman" w:eastAsia="宋体" w:hAnsi="Times New Roman" w:cs="Times New Roman"/>
          <w:sz w:val="24"/>
          <w:szCs w:val="24"/>
        </w:rPr>
        <w:t>，上年同比贬值</w:t>
      </w:r>
      <w:r w:rsidR="00EE143F">
        <w:rPr>
          <w:rFonts w:ascii="Times New Roman" w:eastAsia="宋体" w:hAnsi="Times New Roman" w:cs="Times New Roman" w:hint="eastAsia"/>
          <w:sz w:val="24"/>
          <w:szCs w:val="24"/>
        </w:rPr>
        <w:t>0.80</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两者与加总情形基本下汇率变动基本一致。</w:t>
      </w: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b/>
          <w:sz w:val="24"/>
          <w:szCs w:val="24"/>
        </w:rPr>
        <w:t>分行业来看，所有行业出现贬值。</w:t>
      </w:r>
      <w:r w:rsidR="00663E6E" w:rsidRPr="005632E9">
        <w:rPr>
          <w:rFonts w:ascii="Times New Roman" w:eastAsia="宋体" w:hAnsi="Times New Roman" w:cs="Times New Roman" w:hint="eastAsia"/>
          <w:sz w:val="24"/>
          <w:szCs w:val="24"/>
        </w:rPr>
        <w:t>1</w:t>
      </w:r>
      <w:r w:rsidR="00663E6E" w:rsidRPr="005632E9">
        <w:rPr>
          <w:rFonts w:ascii="Times New Roman" w:eastAsia="宋体" w:hAnsi="Times New Roman" w:cs="Times New Roman" w:hint="eastAsia"/>
          <w:sz w:val="24"/>
          <w:szCs w:val="24"/>
        </w:rPr>
        <w:t>月</w:t>
      </w:r>
      <w:r w:rsidR="002E5988">
        <w:rPr>
          <w:rFonts w:ascii="Times New Roman" w:eastAsia="宋体" w:hAnsi="Times New Roman" w:cs="Times New Roman" w:hint="eastAsia"/>
          <w:sz w:val="24"/>
          <w:szCs w:val="24"/>
        </w:rPr>
        <w:t>全部行业</w:t>
      </w:r>
      <w:r>
        <w:rPr>
          <w:rFonts w:ascii="Times New Roman" w:eastAsia="宋体" w:hAnsi="Times New Roman" w:cs="Times New Roman"/>
          <w:sz w:val="24"/>
          <w:szCs w:val="24"/>
        </w:rPr>
        <w:t>基于增加值人民币有效汇率</w:t>
      </w:r>
      <w:r>
        <w:rPr>
          <w:rFonts w:ascii="Times New Roman" w:eastAsia="宋体" w:hAnsi="Times New Roman" w:cs="Times New Roman" w:hint="eastAsia"/>
          <w:sz w:val="24"/>
          <w:szCs w:val="24"/>
        </w:rPr>
        <w:t>上月</w:t>
      </w:r>
      <w:r>
        <w:rPr>
          <w:rFonts w:ascii="Times New Roman" w:eastAsia="宋体" w:hAnsi="Times New Roman" w:cs="Times New Roman"/>
          <w:sz w:val="24"/>
          <w:szCs w:val="24"/>
        </w:rPr>
        <w:t>环比</w:t>
      </w:r>
      <w:r w:rsidR="00B21DF0">
        <w:rPr>
          <w:rFonts w:ascii="Times New Roman" w:eastAsia="宋体" w:hAnsi="Times New Roman" w:cs="Times New Roman"/>
          <w:sz w:val="24"/>
          <w:szCs w:val="24"/>
        </w:rPr>
        <w:t>升值</w:t>
      </w:r>
      <w:r w:rsidR="00BE4C5C">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上年</w:t>
      </w:r>
      <w:r>
        <w:rPr>
          <w:rFonts w:ascii="Times New Roman" w:eastAsia="宋体" w:hAnsi="Times New Roman" w:cs="Times New Roman"/>
          <w:sz w:val="24"/>
          <w:szCs w:val="24"/>
        </w:rPr>
        <w:t>同比</w:t>
      </w:r>
      <w:r w:rsidR="00B21DF0">
        <w:rPr>
          <w:rFonts w:ascii="Times New Roman" w:eastAsia="宋体" w:hAnsi="Times New Roman" w:cs="Times New Roman"/>
          <w:sz w:val="24"/>
          <w:szCs w:val="24"/>
        </w:rPr>
        <w:t>贬值</w:t>
      </w:r>
      <w:r w:rsidR="00EE143F">
        <w:rPr>
          <w:rFonts w:ascii="Times New Roman" w:eastAsia="宋体" w:hAnsi="Times New Roman" w:cs="Times New Roman" w:hint="eastAsia"/>
          <w:sz w:val="24"/>
          <w:szCs w:val="24"/>
        </w:rPr>
        <w:t>与加总以及</w:t>
      </w:r>
      <w:r w:rsidR="00EE143F">
        <w:rPr>
          <w:rFonts w:ascii="Times New Roman" w:eastAsia="宋体" w:hAnsi="Times New Roman" w:cs="Times New Roman" w:hint="eastAsia"/>
          <w:sz w:val="24"/>
          <w:szCs w:val="24"/>
        </w:rPr>
        <w:t>BIS</w:t>
      </w:r>
      <w:r w:rsidR="00EE143F">
        <w:rPr>
          <w:rFonts w:ascii="Times New Roman" w:eastAsia="宋体" w:hAnsi="Times New Roman" w:cs="Times New Roman" w:hint="eastAsia"/>
          <w:sz w:val="24"/>
          <w:szCs w:val="24"/>
        </w:rPr>
        <w:t>有效汇率升贬值</w:t>
      </w:r>
      <w:r>
        <w:rPr>
          <w:rFonts w:ascii="Times New Roman" w:eastAsia="宋体" w:hAnsi="Times New Roman" w:cs="Times New Roman"/>
          <w:sz w:val="24"/>
          <w:szCs w:val="24"/>
        </w:rPr>
        <w:t>态势</w:t>
      </w:r>
      <w:r w:rsidR="00EE143F">
        <w:rPr>
          <w:rFonts w:ascii="Times New Roman" w:eastAsia="宋体" w:hAnsi="Times New Roman" w:cs="Times New Roman" w:hint="eastAsia"/>
          <w:sz w:val="24"/>
          <w:szCs w:val="24"/>
        </w:rPr>
        <w:t>一致</w:t>
      </w:r>
      <w:r>
        <w:rPr>
          <w:rFonts w:ascii="Times New Roman" w:eastAsia="宋体" w:hAnsi="Times New Roman" w:cs="Times New Roman" w:hint="eastAsia"/>
          <w:sz w:val="24"/>
          <w:szCs w:val="24"/>
        </w:rPr>
        <w:t>（表</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和表</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2E5988">
        <w:rPr>
          <w:rFonts w:ascii="Times New Roman" w:eastAsia="宋体" w:hAnsi="Times New Roman" w:cs="Times New Roman" w:hint="eastAsia"/>
          <w:sz w:val="24"/>
          <w:szCs w:val="24"/>
        </w:rPr>
        <w:t>；</w:t>
      </w:r>
      <w:r>
        <w:rPr>
          <w:rFonts w:ascii="Times New Roman" w:eastAsia="宋体" w:hAnsi="Times New Roman" w:cs="Times New Roman"/>
          <w:sz w:val="24"/>
          <w:szCs w:val="24"/>
        </w:rPr>
        <w:t>环比最大差异</w:t>
      </w:r>
      <w:r w:rsidR="002E5988">
        <w:rPr>
          <w:rFonts w:ascii="Times New Roman" w:eastAsia="宋体" w:hAnsi="Times New Roman" w:cs="Times New Roman" w:hint="eastAsia"/>
          <w:sz w:val="24"/>
          <w:szCs w:val="24"/>
        </w:rPr>
        <w:t>仅</w:t>
      </w:r>
      <w:r>
        <w:rPr>
          <w:rFonts w:ascii="Times New Roman" w:eastAsia="宋体" w:hAnsi="Times New Roman" w:cs="Times New Roman"/>
          <w:sz w:val="24"/>
          <w:szCs w:val="24"/>
        </w:rPr>
        <w:t>为</w:t>
      </w:r>
      <w:r w:rsidR="00BE4C5C">
        <w:rPr>
          <w:rFonts w:ascii="Times New Roman" w:eastAsia="宋体" w:hAnsi="Times New Roman" w:cs="Times New Roman" w:hint="eastAsia"/>
          <w:sz w:val="24"/>
          <w:szCs w:val="24"/>
        </w:rPr>
        <w:t>0.</w:t>
      </w:r>
      <w:r w:rsidR="0087353E">
        <w:rPr>
          <w:rFonts w:ascii="Times New Roman" w:eastAsia="宋体" w:hAnsi="Times New Roman" w:cs="Times New Roman" w:hint="eastAsia"/>
          <w:sz w:val="24"/>
          <w:szCs w:val="24"/>
        </w:rPr>
        <w:t>45</w:t>
      </w:r>
      <w:r>
        <w:rPr>
          <w:rFonts w:ascii="Times New Roman" w:eastAsia="宋体" w:hAnsi="Times New Roman" w:cs="Times New Roman"/>
          <w:sz w:val="24"/>
          <w:szCs w:val="24"/>
        </w:rPr>
        <w:t>个百分点，同比最大差异为</w:t>
      </w:r>
      <w:r w:rsidR="0087353E">
        <w:rPr>
          <w:rFonts w:ascii="Times New Roman" w:eastAsia="宋体" w:hAnsi="Times New Roman" w:cs="Times New Roman" w:hint="eastAsia"/>
          <w:sz w:val="24"/>
          <w:szCs w:val="24"/>
        </w:rPr>
        <w:t>1.61</w:t>
      </w:r>
      <w:r>
        <w:rPr>
          <w:rFonts w:ascii="Times New Roman" w:eastAsia="宋体" w:hAnsi="Times New Roman" w:cs="Times New Roman"/>
          <w:sz w:val="24"/>
          <w:szCs w:val="24"/>
        </w:rPr>
        <w:t>个百分点。环比</w:t>
      </w:r>
      <w:r w:rsidR="00BE4C5C">
        <w:rPr>
          <w:rFonts w:ascii="Times New Roman" w:eastAsia="宋体" w:hAnsi="Times New Roman" w:cs="Times New Roman" w:hint="eastAsia"/>
          <w:sz w:val="24"/>
          <w:szCs w:val="24"/>
        </w:rPr>
        <w:t>贬值</w:t>
      </w:r>
      <w:r>
        <w:rPr>
          <w:rFonts w:ascii="Times New Roman" w:eastAsia="宋体" w:hAnsi="Times New Roman" w:cs="Times New Roman"/>
          <w:sz w:val="24"/>
          <w:szCs w:val="24"/>
        </w:rPr>
        <w:t>幅度最高的三个行业为</w:t>
      </w:r>
      <w:r w:rsidR="00BE4C5C">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sidR="0087353E">
        <w:rPr>
          <w:rFonts w:ascii="Times New Roman" w:eastAsia="宋体" w:hAnsi="Times New Roman" w:cs="Times New Roman" w:hint="eastAsia"/>
          <w:sz w:val="24"/>
          <w:szCs w:val="24"/>
        </w:rPr>
        <w:t>建筑业</w:t>
      </w:r>
      <w:r>
        <w:rPr>
          <w:rFonts w:ascii="Times New Roman" w:eastAsia="宋体" w:hAnsi="Times New Roman" w:cs="Times New Roman"/>
          <w:sz w:val="24"/>
          <w:szCs w:val="24"/>
        </w:rPr>
        <w:t>”</w:t>
      </w:r>
      <w:r>
        <w:rPr>
          <w:rFonts w:ascii="Times New Roman" w:eastAsia="宋体" w:hAnsi="Times New Roman" w:cs="Times New Roman"/>
          <w:sz w:val="24"/>
          <w:szCs w:val="24"/>
        </w:rPr>
        <w:t>、</w:t>
      </w:r>
      <w:r w:rsidR="00BE4C5C" w:rsidRPr="00BE4C5C">
        <w:rPr>
          <w:rFonts w:ascii="Times New Roman" w:eastAsia="宋体" w:hAnsi="Times New Roman" w:cs="Times New Roman"/>
          <w:sz w:val="24"/>
          <w:szCs w:val="24"/>
        </w:rPr>
        <w:t xml:space="preserve"> </w:t>
      </w:r>
      <w:r w:rsidR="00BE4C5C">
        <w:rPr>
          <w:rFonts w:ascii="Times New Roman" w:eastAsia="宋体" w:hAnsi="Times New Roman" w:cs="Times New Roman"/>
          <w:sz w:val="24"/>
          <w:szCs w:val="24"/>
        </w:rPr>
        <w:t>“</w:t>
      </w:r>
      <w:r w:rsidR="00BE4C5C">
        <w:rPr>
          <w:rFonts w:ascii="Times New Roman" w:eastAsia="宋体" w:hAnsi="Times New Roman" w:cs="Times New Roman" w:hint="eastAsia"/>
          <w:sz w:val="24"/>
          <w:szCs w:val="24"/>
        </w:rPr>
        <w:t>教育</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Pr>
          <w:rFonts w:ascii="Times New Roman" w:eastAsia="宋体" w:hAnsi="Times New Roman" w:cs="Times New Roman"/>
          <w:sz w:val="24"/>
          <w:szCs w:val="24"/>
        </w:rPr>
        <w:t>“</w:t>
      </w:r>
      <w:r w:rsidR="0087353E" w:rsidRPr="0087353E">
        <w:rPr>
          <w:rFonts w:ascii="Times New Roman" w:eastAsia="宋体" w:hAnsi="Times New Roman" w:cs="Times New Roman" w:hint="eastAsia"/>
          <w:sz w:val="24"/>
          <w:szCs w:val="24"/>
        </w:rPr>
        <w:t>租赁和商务服务业</w:t>
      </w:r>
      <w:r>
        <w:rPr>
          <w:rFonts w:ascii="Times New Roman" w:eastAsia="宋体" w:hAnsi="Times New Roman" w:cs="Times New Roman"/>
          <w:sz w:val="24"/>
          <w:szCs w:val="24"/>
        </w:rPr>
        <w:t>”</w:t>
      </w:r>
      <w:r>
        <w:rPr>
          <w:rFonts w:ascii="Times New Roman" w:eastAsia="宋体" w:hAnsi="Times New Roman" w:cs="Times New Roman"/>
          <w:sz w:val="24"/>
          <w:szCs w:val="24"/>
        </w:rPr>
        <w:t>，环比</w:t>
      </w:r>
      <w:r w:rsidR="00BE4C5C">
        <w:rPr>
          <w:rFonts w:ascii="Times New Roman" w:eastAsia="宋体" w:hAnsi="Times New Roman" w:cs="Times New Roman" w:hint="eastAsia"/>
          <w:sz w:val="24"/>
          <w:szCs w:val="24"/>
        </w:rPr>
        <w:t>贬</w:t>
      </w:r>
      <w:r w:rsidR="002E5988">
        <w:rPr>
          <w:rFonts w:ascii="Times New Roman" w:eastAsia="宋体" w:hAnsi="Times New Roman" w:cs="Times New Roman" w:hint="eastAsia"/>
          <w:sz w:val="24"/>
          <w:szCs w:val="24"/>
        </w:rPr>
        <w:t>值</w:t>
      </w:r>
      <w:r>
        <w:rPr>
          <w:rFonts w:ascii="Times New Roman" w:eastAsia="宋体" w:hAnsi="Times New Roman" w:cs="Times New Roman"/>
          <w:sz w:val="24"/>
          <w:szCs w:val="24"/>
        </w:rPr>
        <w:t>幅度最低的三个行业为</w:t>
      </w:r>
      <w:r>
        <w:rPr>
          <w:rFonts w:ascii="Times New Roman" w:eastAsia="宋体" w:hAnsi="Times New Roman" w:cs="Times New Roman"/>
          <w:sz w:val="24"/>
          <w:szCs w:val="24"/>
        </w:rPr>
        <w:t>“</w:t>
      </w:r>
      <w:r w:rsidR="0087353E" w:rsidRPr="0087353E">
        <w:rPr>
          <w:rFonts w:ascii="Times New Roman" w:eastAsia="宋体" w:hAnsi="Times New Roman" w:cs="Times New Roman" w:hint="eastAsia"/>
          <w:sz w:val="24"/>
          <w:szCs w:val="24"/>
        </w:rPr>
        <w:t>采矿和采石业</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sidR="0087353E" w:rsidRPr="0087353E">
        <w:rPr>
          <w:rFonts w:ascii="Times New Roman" w:eastAsia="宋体" w:hAnsi="Times New Roman" w:cs="Times New Roman" w:hint="eastAsia"/>
          <w:sz w:val="24"/>
          <w:szCs w:val="24"/>
        </w:rPr>
        <w:t>石油加工、炼焦及核燃料加工业</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sidR="0087353E" w:rsidRPr="0087353E">
        <w:rPr>
          <w:rFonts w:ascii="Times New Roman" w:eastAsia="宋体" w:hAnsi="Times New Roman" w:cs="Times New Roman" w:hint="eastAsia"/>
          <w:sz w:val="24"/>
          <w:szCs w:val="24"/>
        </w:rPr>
        <w:t>零售贸易（除了汽车和摩托车）</w:t>
      </w:r>
      <w:r w:rsidR="0087353E" w:rsidRPr="0087353E">
        <w:rPr>
          <w:rFonts w:ascii="Times New Roman" w:eastAsia="宋体" w:hAnsi="Times New Roman" w:cs="Times New Roman"/>
          <w:sz w:val="24"/>
          <w:szCs w:val="24"/>
        </w:rPr>
        <w:t>,</w:t>
      </w:r>
      <w:r w:rsidR="0087353E" w:rsidRPr="0087353E">
        <w:rPr>
          <w:rFonts w:ascii="Times New Roman" w:eastAsia="宋体" w:hAnsi="Times New Roman" w:cs="Times New Roman"/>
          <w:sz w:val="24"/>
          <w:szCs w:val="24"/>
        </w:rPr>
        <w:t>家用商品修理</w:t>
      </w:r>
      <w:r>
        <w:rPr>
          <w:rFonts w:ascii="Times New Roman" w:eastAsia="宋体" w:hAnsi="Times New Roman" w:cs="Times New Roman"/>
          <w:sz w:val="24"/>
          <w:szCs w:val="24"/>
        </w:rPr>
        <w:t>”</w:t>
      </w:r>
      <w:r>
        <w:rPr>
          <w:rFonts w:ascii="Times New Roman" w:eastAsia="宋体" w:hAnsi="Times New Roman" w:cs="Times New Roman"/>
          <w:sz w:val="24"/>
          <w:szCs w:val="24"/>
        </w:rPr>
        <w:t>。同比贬值幅度最</w:t>
      </w:r>
      <w:r>
        <w:rPr>
          <w:rFonts w:ascii="Times New Roman" w:eastAsia="宋体" w:hAnsi="Times New Roman" w:cs="Times New Roman" w:hint="eastAsia"/>
          <w:sz w:val="24"/>
          <w:szCs w:val="24"/>
        </w:rPr>
        <w:t>高</w:t>
      </w:r>
      <w:r>
        <w:rPr>
          <w:rFonts w:ascii="Times New Roman" w:eastAsia="宋体" w:hAnsi="Times New Roman" w:cs="Times New Roman"/>
          <w:sz w:val="24"/>
          <w:szCs w:val="24"/>
        </w:rPr>
        <w:t>的三个行业为</w:t>
      </w:r>
      <w:r w:rsidR="00BE4C5C">
        <w:rPr>
          <w:rFonts w:ascii="Times New Roman" w:eastAsia="宋体" w:hAnsi="Times New Roman" w:cs="Times New Roman"/>
          <w:sz w:val="24"/>
          <w:szCs w:val="24"/>
        </w:rPr>
        <w:t>“</w:t>
      </w:r>
      <w:r w:rsidR="00BE4C5C" w:rsidRPr="00BE4C5C">
        <w:rPr>
          <w:rFonts w:ascii="Times New Roman" w:eastAsia="宋体" w:hAnsi="Times New Roman" w:cs="Times New Roman" w:hint="eastAsia"/>
          <w:sz w:val="24"/>
          <w:szCs w:val="24"/>
        </w:rPr>
        <w:t>石油加工、炼焦及核燃料加工业</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BE4C5C" w:rsidRPr="00BE4C5C">
        <w:rPr>
          <w:rFonts w:ascii="Times New Roman" w:eastAsia="宋体" w:hAnsi="Times New Roman" w:cs="Times New Roman" w:hint="eastAsia"/>
          <w:sz w:val="24"/>
          <w:szCs w:val="24"/>
        </w:rPr>
        <w:t>采矿和采石业</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BE4C5C" w:rsidRPr="00BE4C5C">
        <w:rPr>
          <w:rFonts w:ascii="Times New Roman" w:eastAsia="宋体" w:hAnsi="Times New Roman" w:cs="Times New Roman" w:hint="eastAsia"/>
          <w:sz w:val="24"/>
          <w:szCs w:val="24"/>
        </w:rPr>
        <w:t>批发贸易和经纪贸易</w:t>
      </w:r>
      <w:r w:rsidR="00BE4C5C" w:rsidRPr="00BE4C5C">
        <w:rPr>
          <w:rFonts w:ascii="Times New Roman" w:eastAsia="宋体" w:hAnsi="Times New Roman" w:cs="Times New Roman"/>
          <w:sz w:val="24"/>
          <w:szCs w:val="24"/>
        </w:rPr>
        <w:t>(</w:t>
      </w:r>
      <w:r w:rsidR="00BE4C5C" w:rsidRPr="00BE4C5C">
        <w:rPr>
          <w:rFonts w:ascii="Times New Roman" w:eastAsia="宋体" w:hAnsi="Times New Roman" w:cs="Times New Roman"/>
          <w:sz w:val="24"/>
          <w:szCs w:val="24"/>
        </w:rPr>
        <w:t>除了汽车和摩托车</w:t>
      </w:r>
      <w:r w:rsidR="00BE4C5C" w:rsidRP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Pr>
          <w:rFonts w:ascii="Times New Roman" w:eastAsia="宋体" w:hAnsi="Times New Roman" w:cs="Times New Roman"/>
          <w:sz w:val="24"/>
          <w:szCs w:val="24"/>
        </w:rPr>
        <w:t>，同</w:t>
      </w:r>
      <w:r w:rsidR="0087353E">
        <w:rPr>
          <w:rFonts w:ascii="Times New Roman" w:eastAsia="宋体" w:hAnsi="Times New Roman" w:cs="Times New Roman" w:hint="eastAsia"/>
          <w:sz w:val="24"/>
          <w:szCs w:val="24"/>
        </w:rPr>
        <w:t>贬值幅度最低</w:t>
      </w:r>
      <w:r>
        <w:rPr>
          <w:rFonts w:ascii="Times New Roman" w:eastAsia="宋体" w:hAnsi="Times New Roman" w:cs="Times New Roman"/>
          <w:sz w:val="24"/>
          <w:szCs w:val="24"/>
        </w:rPr>
        <w:t>的三个行业为</w:t>
      </w:r>
      <w:r w:rsidR="0087353E">
        <w:rPr>
          <w:rFonts w:ascii="Times New Roman" w:eastAsia="宋体" w:hAnsi="Times New Roman" w:cs="Times New Roman"/>
          <w:sz w:val="24"/>
          <w:szCs w:val="24"/>
        </w:rPr>
        <w:t>“</w:t>
      </w:r>
      <w:r w:rsidR="0087353E" w:rsidRPr="0087353E">
        <w:rPr>
          <w:rFonts w:ascii="Times New Roman" w:eastAsia="宋体" w:hAnsi="Times New Roman" w:cs="Times New Roman" w:hint="eastAsia"/>
          <w:sz w:val="24"/>
          <w:szCs w:val="24"/>
        </w:rPr>
        <w:t>其他社区、社会和个人服务</w:t>
      </w:r>
      <w:r w:rsidR="0087353E">
        <w:rPr>
          <w:rFonts w:ascii="Times New Roman" w:eastAsia="宋体" w:hAnsi="Times New Roman" w:cs="Times New Roman"/>
          <w:sz w:val="24"/>
          <w:szCs w:val="24"/>
        </w:rPr>
        <w:t>”</w:t>
      </w:r>
      <w:r w:rsidR="0087353E">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BE4C5C" w:rsidRPr="00BE4C5C">
        <w:rPr>
          <w:rFonts w:ascii="Times New Roman" w:eastAsia="宋体" w:hAnsi="Times New Roman" w:cs="Times New Roman" w:hint="eastAsia"/>
          <w:sz w:val="24"/>
          <w:szCs w:val="24"/>
        </w:rPr>
        <w:t>皮革</w:t>
      </w:r>
      <w:r w:rsidR="00BE4C5C" w:rsidRPr="00BE4C5C">
        <w:rPr>
          <w:rFonts w:ascii="Times New Roman" w:eastAsia="宋体" w:hAnsi="Times New Roman" w:cs="Times New Roman"/>
          <w:sz w:val="24"/>
          <w:szCs w:val="24"/>
        </w:rPr>
        <w:t>,</w:t>
      </w:r>
      <w:r w:rsidR="00BE4C5C" w:rsidRPr="00BE4C5C">
        <w:rPr>
          <w:rFonts w:ascii="Times New Roman" w:eastAsia="宋体" w:hAnsi="Times New Roman" w:cs="Times New Roman"/>
          <w:sz w:val="24"/>
          <w:szCs w:val="24"/>
        </w:rPr>
        <w:t>皮革制品和鞋业</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87353E">
        <w:rPr>
          <w:rFonts w:ascii="Times New Roman" w:eastAsia="宋体" w:hAnsi="Times New Roman" w:cs="Times New Roman"/>
          <w:sz w:val="24"/>
          <w:szCs w:val="24"/>
        </w:rPr>
        <w:t xml:space="preserve"> </w:t>
      </w:r>
      <w:r w:rsidR="00BE4C5C">
        <w:rPr>
          <w:rFonts w:ascii="Times New Roman" w:eastAsia="宋体" w:hAnsi="Times New Roman" w:cs="Times New Roman"/>
          <w:sz w:val="24"/>
          <w:szCs w:val="24"/>
        </w:rPr>
        <w:t>“</w:t>
      </w:r>
      <w:r w:rsidR="00BE4C5C" w:rsidRPr="00BE4C5C">
        <w:rPr>
          <w:rFonts w:ascii="Times New Roman" w:eastAsia="宋体" w:hAnsi="Times New Roman" w:cs="Times New Roman" w:hint="eastAsia"/>
          <w:sz w:val="24"/>
          <w:szCs w:val="24"/>
        </w:rPr>
        <w:t>建筑业</w:t>
      </w:r>
      <w:r w:rsidR="00BE4C5C">
        <w:rPr>
          <w:rFonts w:ascii="Times New Roman" w:eastAsia="宋体" w:hAnsi="Times New Roman" w:cs="Times New Roman"/>
          <w:sz w:val="24"/>
          <w:szCs w:val="24"/>
        </w:rPr>
        <w:t>”</w:t>
      </w:r>
      <w:r>
        <w:rPr>
          <w:rFonts w:ascii="Times New Roman" w:eastAsia="宋体" w:hAnsi="Times New Roman" w:cs="Times New Roman"/>
          <w:sz w:val="24"/>
          <w:szCs w:val="24"/>
        </w:rPr>
        <w:t>。</w:t>
      </w:r>
    </w:p>
    <w:p w:rsidR="00963E97" w:rsidRDefault="00963E97">
      <w:pPr>
        <w:spacing w:line="360" w:lineRule="auto"/>
        <w:ind w:firstLine="420"/>
        <w:jc w:val="right"/>
        <w:rPr>
          <w:rFonts w:ascii="Times New Roman" w:eastAsia="宋体" w:hAnsi="Times New Roman" w:cs="Times New Roman"/>
          <w:sz w:val="24"/>
          <w:szCs w:val="24"/>
        </w:rPr>
      </w:pPr>
    </w:p>
    <w:p w:rsidR="00963E97" w:rsidRDefault="00DD286C">
      <w:pPr>
        <w:spacing w:line="360" w:lineRule="auto"/>
        <w:ind w:firstLine="42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（完整版数据请访问：</w:t>
      </w:r>
      <w:hyperlink r:id="rId8" w:history="1">
        <w:r>
          <w:rPr>
            <w:rStyle w:val="a7"/>
            <w:rFonts w:ascii="Times New Roman" w:eastAsia="宋体" w:hAnsi="Times New Roman" w:cs="Times New Roman"/>
            <w:sz w:val="24"/>
            <w:szCs w:val="24"/>
          </w:rPr>
          <w:t>http://iwep.org.cn/iwepheer/</w:t>
        </w:r>
      </w:hyperlink>
      <w:r>
        <w:rPr>
          <w:rFonts w:ascii="Times New Roman" w:eastAsia="宋体" w:hAnsi="Times New Roman" w:cs="Times New Roman" w:hint="eastAsia"/>
          <w:sz w:val="24"/>
          <w:szCs w:val="24"/>
        </w:rPr>
        <w:t>）</w:t>
      </w:r>
    </w:p>
    <w:p w:rsidR="00963E97" w:rsidRDefault="00DD286C">
      <w:pPr>
        <w:pStyle w:val="a3"/>
        <w:keepNext/>
        <w:jc w:val="center"/>
        <w:rPr>
          <w:rFonts w:ascii="黑体" w:hAnsi="黑体" w:cs="Times New Roman"/>
        </w:rPr>
      </w:pPr>
      <w:r>
        <w:rPr>
          <w:rFonts w:ascii="黑体" w:hAnsi="黑体" w:cs="Times New Roman"/>
        </w:rPr>
        <w:lastRenderedPageBreak/>
        <w:t xml:space="preserve">图 </w:t>
      </w:r>
      <w:r w:rsidR="00185B38">
        <w:rPr>
          <w:rFonts w:ascii="黑体" w:hAnsi="黑体" w:cs="Times New Roman"/>
        </w:rPr>
        <w:fldChar w:fldCharType="begin"/>
      </w:r>
      <w:r>
        <w:rPr>
          <w:rFonts w:ascii="黑体" w:hAnsi="黑体" w:cs="Times New Roman"/>
        </w:rPr>
        <w:instrText xml:space="preserve"> SEQ 图 \* ARABIC </w:instrText>
      </w:r>
      <w:r w:rsidR="00185B38">
        <w:rPr>
          <w:rFonts w:ascii="黑体" w:hAnsi="黑体" w:cs="Times New Roman"/>
        </w:rPr>
        <w:fldChar w:fldCharType="separate"/>
      </w:r>
      <w:r>
        <w:rPr>
          <w:rFonts w:ascii="黑体" w:hAnsi="黑体" w:cs="Times New Roman"/>
        </w:rPr>
        <w:t>1</w:t>
      </w:r>
      <w:r w:rsidR="00185B38">
        <w:rPr>
          <w:rFonts w:ascii="黑体" w:hAnsi="黑体" w:cs="Times New Roman"/>
        </w:rPr>
        <w:fldChar w:fldCharType="end"/>
      </w:r>
      <w:r>
        <w:rPr>
          <w:rFonts w:ascii="黑体" w:hAnsi="黑体" w:cs="Times New Roman"/>
        </w:rPr>
        <w:t xml:space="preserve"> 加总的基于增加值人民币有效汇率与主要传统有效汇率指数走势比较</w:t>
      </w:r>
    </w:p>
    <w:p w:rsidR="00963E97" w:rsidRDefault="00EE143F">
      <w:pPr>
        <w:spacing w:line="360" w:lineRule="auto"/>
        <w:ind w:firstLine="420"/>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5274310" cy="2929489"/>
            <wp:effectExtent l="19050" t="0" r="2540" b="0"/>
            <wp:docPr id="4" name="图片 2" descr="C:\Users\Administrator\AppData\Local\Temp\15853832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Temp\1585383294(1).png"/>
                    <pic:cNvPicPr>
                      <a:picLocks noChangeAspect="1" noChangeArrowheads="1"/>
                    </pic:cNvPicPr>
                  </pic:nvPicPr>
                  <pic:blipFill>
                    <a:blip r:embed="rId9" cstate="print"/>
                    <a:srcRect/>
                    <a:stretch>
                      <a:fillRect/>
                    </a:stretch>
                  </pic:blipFill>
                  <pic:spPr bwMode="auto">
                    <a:xfrm>
                      <a:off x="0" y="0"/>
                      <a:ext cx="5274310" cy="2929489"/>
                    </a:xfrm>
                    <a:prstGeom prst="rect">
                      <a:avLst/>
                    </a:prstGeom>
                    <a:noFill/>
                    <a:ln w="9525">
                      <a:noFill/>
                      <a:miter lim="800000"/>
                      <a:headEnd/>
                      <a:tailEnd/>
                    </a:ln>
                  </pic:spPr>
                </pic:pic>
              </a:graphicData>
            </a:graphic>
          </wp:inline>
        </w:drawing>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说明：上升代表升值，下降代表贬值，增加值和</w:t>
      </w:r>
      <w:r>
        <w:rPr>
          <w:rFonts w:ascii="Times New Roman" w:eastAsia="宋体" w:hAnsi="Times New Roman" w:cs="Times New Roman"/>
          <w:sz w:val="18"/>
          <w:szCs w:val="18"/>
        </w:rPr>
        <w:t>BIS</w:t>
      </w:r>
      <w:r>
        <w:rPr>
          <w:rFonts w:ascii="Times New Roman" w:eastAsia="宋体" w:hAnsi="Times New Roman" w:cs="Times New Roman" w:hint="eastAsia"/>
          <w:sz w:val="18"/>
          <w:szCs w:val="18"/>
        </w:rPr>
        <w:t>有效汇率基期为</w:t>
      </w:r>
      <w:r>
        <w:rPr>
          <w:rFonts w:ascii="Times New Roman" w:eastAsia="宋体" w:hAnsi="Times New Roman" w:cs="Times New Roman"/>
          <w:sz w:val="18"/>
          <w:szCs w:val="18"/>
        </w:rPr>
        <w:t>2010</w:t>
      </w:r>
      <w:r>
        <w:rPr>
          <w:rFonts w:ascii="Times New Roman" w:eastAsia="宋体" w:hAnsi="Times New Roman" w:cs="Times New Roman" w:hint="eastAsia"/>
          <w:sz w:val="18"/>
          <w:szCs w:val="18"/>
        </w:rPr>
        <w:t>年，人民币汇率指数基期为</w:t>
      </w:r>
      <w:r>
        <w:rPr>
          <w:rFonts w:ascii="Times New Roman" w:eastAsia="宋体" w:hAnsi="Times New Roman" w:cs="Times New Roman"/>
          <w:sz w:val="18"/>
          <w:szCs w:val="18"/>
        </w:rPr>
        <w:t>2014</w:t>
      </w:r>
      <w:r>
        <w:rPr>
          <w:rFonts w:ascii="Times New Roman" w:eastAsia="宋体" w:hAnsi="Times New Roman" w:cs="Times New Roman" w:hint="eastAsia"/>
          <w:sz w:val="18"/>
          <w:szCs w:val="18"/>
        </w:rPr>
        <w:t>年。人民币汇率指数也公布基于</w:t>
      </w:r>
      <w:r>
        <w:rPr>
          <w:rFonts w:ascii="Times New Roman" w:eastAsia="宋体" w:hAnsi="Times New Roman" w:cs="Times New Roman" w:hint="eastAsia"/>
          <w:sz w:val="18"/>
          <w:szCs w:val="18"/>
        </w:rPr>
        <w:t>BIS</w:t>
      </w:r>
      <w:r>
        <w:rPr>
          <w:rFonts w:ascii="Times New Roman" w:eastAsia="宋体" w:hAnsi="Times New Roman" w:cs="Times New Roman" w:hint="eastAsia"/>
          <w:sz w:val="18"/>
          <w:szCs w:val="18"/>
        </w:rPr>
        <w:t>货币篮子的数据，但这里仍然采用的是</w:t>
      </w:r>
      <w:r>
        <w:rPr>
          <w:rFonts w:ascii="Times New Roman" w:eastAsia="宋体" w:hAnsi="Times New Roman" w:cs="Times New Roman" w:hint="eastAsia"/>
          <w:sz w:val="18"/>
          <w:szCs w:val="18"/>
        </w:rPr>
        <w:t>BIS</w:t>
      </w:r>
      <w:r>
        <w:rPr>
          <w:rFonts w:ascii="Times New Roman" w:eastAsia="宋体" w:hAnsi="Times New Roman" w:cs="Times New Roman" w:hint="eastAsia"/>
          <w:sz w:val="18"/>
          <w:szCs w:val="18"/>
        </w:rPr>
        <w:t>公布的原始数据。</w:t>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数据来源：</w:t>
      </w:r>
      <w:r>
        <w:rPr>
          <w:rFonts w:ascii="Times New Roman" w:eastAsia="宋体" w:hAnsi="Times New Roman" w:cs="Times New Roman" w:hint="eastAsia"/>
          <w:sz w:val="18"/>
          <w:szCs w:val="18"/>
        </w:rPr>
        <w:t>IWEP-HEER</w:t>
      </w:r>
      <w:r>
        <w:rPr>
          <w:rFonts w:ascii="Times New Roman" w:eastAsia="宋体" w:hAnsi="Times New Roman" w:cs="Times New Roman" w:hint="eastAsia"/>
          <w:sz w:val="18"/>
          <w:szCs w:val="18"/>
        </w:rPr>
        <w:t>数据库，</w:t>
      </w:r>
      <w:r>
        <w:rPr>
          <w:rFonts w:ascii="Times New Roman" w:eastAsia="宋体" w:hAnsi="Times New Roman" w:cs="Times New Roman" w:hint="eastAsia"/>
          <w:sz w:val="18"/>
          <w:szCs w:val="18"/>
        </w:rPr>
        <w:t>CEIC</w:t>
      </w:r>
    </w:p>
    <w:p w:rsidR="00963E97" w:rsidRDefault="00963E97">
      <w:pPr>
        <w:spacing w:line="360" w:lineRule="auto"/>
        <w:rPr>
          <w:rFonts w:ascii="Times New Roman" w:eastAsia="宋体" w:hAnsi="Times New Roman" w:cs="Times New Roman"/>
          <w:sz w:val="24"/>
          <w:szCs w:val="24"/>
        </w:rPr>
      </w:pPr>
    </w:p>
    <w:p w:rsidR="00963E97" w:rsidRDefault="00DD286C">
      <w:pPr>
        <w:pStyle w:val="a3"/>
        <w:keepNext/>
        <w:jc w:val="center"/>
        <w:rPr>
          <w:rFonts w:ascii="黑体" w:hAnsi="黑体" w:cs="Times New Roman"/>
        </w:rPr>
      </w:pPr>
      <w:r>
        <w:rPr>
          <w:rFonts w:ascii="黑体" w:hAnsi="黑体" w:cs="Times New Roman"/>
        </w:rPr>
        <w:t xml:space="preserve">图 </w:t>
      </w:r>
      <w:r w:rsidR="00185B38">
        <w:rPr>
          <w:rFonts w:ascii="黑体" w:hAnsi="黑体" w:cs="Times New Roman"/>
        </w:rPr>
        <w:fldChar w:fldCharType="begin"/>
      </w:r>
      <w:r>
        <w:rPr>
          <w:rFonts w:ascii="黑体" w:hAnsi="黑体" w:cs="Times New Roman"/>
        </w:rPr>
        <w:instrText xml:space="preserve"> SEQ 图 \* ARABIC </w:instrText>
      </w:r>
      <w:r w:rsidR="00185B38">
        <w:rPr>
          <w:rFonts w:ascii="黑体" w:hAnsi="黑体" w:cs="Times New Roman"/>
        </w:rPr>
        <w:fldChar w:fldCharType="separate"/>
      </w:r>
      <w:r>
        <w:rPr>
          <w:rFonts w:ascii="黑体" w:hAnsi="黑体" w:cs="Times New Roman"/>
        </w:rPr>
        <w:t>2</w:t>
      </w:r>
      <w:r w:rsidR="00185B38">
        <w:rPr>
          <w:rFonts w:ascii="黑体" w:hAnsi="黑体" w:cs="Times New Roman"/>
        </w:rPr>
        <w:fldChar w:fldCharType="end"/>
      </w:r>
      <w:r>
        <w:rPr>
          <w:rFonts w:ascii="黑体" w:hAnsi="黑体" w:cs="Times New Roman"/>
        </w:rPr>
        <w:t>基于增加值人民币有效汇率：可贸易品</w:t>
      </w:r>
      <w:proofErr w:type="spellStart"/>
      <w:r>
        <w:rPr>
          <w:rFonts w:ascii="黑体" w:hAnsi="黑体" w:cs="Times New Roman"/>
        </w:rPr>
        <w:t>vs</w:t>
      </w:r>
      <w:proofErr w:type="spellEnd"/>
      <w:r>
        <w:rPr>
          <w:rFonts w:ascii="黑体" w:hAnsi="黑体" w:cs="Times New Roman"/>
        </w:rPr>
        <w:t>不可贸易品</w:t>
      </w:r>
    </w:p>
    <w:p w:rsidR="00963E97" w:rsidRDefault="00EE143F">
      <w:pPr>
        <w:spacing w:line="360" w:lineRule="auto"/>
        <w:jc w:val="center"/>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5274310" cy="2861827"/>
            <wp:effectExtent l="19050" t="0" r="2540" b="0"/>
            <wp:docPr id="2" name="图片 1" descr="C:\Users\Administrator\AppData\Local\Temp\15853832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Temp\1585383268(1).png"/>
                    <pic:cNvPicPr>
                      <a:picLocks noChangeAspect="1" noChangeArrowheads="1"/>
                    </pic:cNvPicPr>
                  </pic:nvPicPr>
                  <pic:blipFill>
                    <a:blip r:embed="rId10" cstate="print"/>
                    <a:srcRect/>
                    <a:stretch>
                      <a:fillRect/>
                    </a:stretch>
                  </pic:blipFill>
                  <pic:spPr bwMode="auto">
                    <a:xfrm>
                      <a:off x="0" y="0"/>
                      <a:ext cx="5274310" cy="2861827"/>
                    </a:xfrm>
                    <a:prstGeom prst="rect">
                      <a:avLst/>
                    </a:prstGeom>
                    <a:noFill/>
                    <a:ln w="9525">
                      <a:noFill/>
                      <a:miter lim="800000"/>
                      <a:headEnd/>
                      <a:tailEnd/>
                    </a:ln>
                  </pic:spPr>
                </pic:pic>
              </a:graphicData>
            </a:graphic>
          </wp:inline>
        </w:drawing>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说明：上升代表升值，下降代表贬值。</w:t>
      </w: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sz w:val="18"/>
          <w:szCs w:val="18"/>
        </w:rPr>
        <w:t>数据来源：</w:t>
      </w:r>
      <w:r>
        <w:rPr>
          <w:rFonts w:ascii="Times New Roman" w:eastAsia="宋体" w:hAnsi="Times New Roman" w:cs="Times New Roman" w:hint="eastAsia"/>
          <w:sz w:val="18"/>
          <w:szCs w:val="18"/>
        </w:rPr>
        <w:t>IWEP-HEER</w:t>
      </w:r>
      <w:r>
        <w:rPr>
          <w:rFonts w:ascii="Times New Roman" w:eastAsia="宋体" w:hAnsi="Times New Roman" w:cs="Times New Roman" w:hint="eastAsia"/>
          <w:sz w:val="18"/>
          <w:szCs w:val="18"/>
        </w:rPr>
        <w:t>数据库。</w:t>
      </w:r>
    </w:p>
    <w:p w:rsidR="00963E97" w:rsidRDefault="00963E97">
      <w:pPr>
        <w:spacing w:line="360" w:lineRule="auto"/>
        <w:ind w:firstLine="420"/>
        <w:rPr>
          <w:rFonts w:ascii="Times New Roman" w:eastAsia="宋体" w:hAnsi="Times New Roman" w:cs="Times New Roman"/>
          <w:sz w:val="24"/>
          <w:szCs w:val="24"/>
        </w:rPr>
      </w:pPr>
    </w:p>
    <w:p w:rsidR="00963E97" w:rsidRDefault="00DD286C">
      <w:pPr>
        <w:pStyle w:val="a3"/>
        <w:keepNext/>
        <w:jc w:val="center"/>
      </w:pPr>
      <w:r>
        <w:lastRenderedPageBreak/>
        <w:t>表</w:t>
      </w:r>
      <w:r>
        <w:t xml:space="preserve"> </w:t>
      </w:r>
      <w:r w:rsidR="00185B38">
        <w:fldChar w:fldCharType="begin"/>
      </w:r>
      <w:r>
        <w:instrText xml:space="preserve"> SEQ </w:instrText>
      </w:r>
      <w:r>
        <w:instrText>表格</w:instrText>
      </w:r>
      <w:r>
        <w:instrText xml:space="preserve"> \* ARABIC </w:instrText>
      </w:r>
      <w:r w:rsidR="00185B38">
        <w:fldChar w:fldCharType="separate"/>
      </w:r>
      <w:r>
        <w:t>1</w:t>
      </w:r>
      <w:r w:rsidR="00185B38">
        <w:fldChar w:fldCharType="end"/>
      </w:r>
      <w:r>
        <w:t xml:space="preserve"> </w:t>
      </w:r>
      <w:r>
        <w:rPr>
          <w:rFonts w:hint="eastAsia"/>
        </w:rPr>
        <w:t>分行业基于增加值人民币有效汇率环比变动（</w:t>
      </w:r>
      <w:r>
        <w:rPr>
          <w:rFonts w:hint="eastAsia"/>
        </w:rPr>
        <w:t>20</w:t>
      </w:r>
      <w:r w:rsidR="00EE143F">
        <w:rPr>
          <w:rFonts w:hint="eastAsia"/>
        </w:rPr>
        <w:t>20</w:t>
      </w:r>
      <w:r>
        <w:rPr>
          <w:rFonts w:hint="eastAsia"/>
        </w:rPr>
        <w:t>年</w:t>
      </w:r>
      <w:r w:rsidR="00BA7900">
        <w:rPr>
          <w:rFonts w:hint="eastAsia"/>
        </w:rPr>
        <w:t>1</w:t>
      </w:r>
      <w:r>
        <w:rPr>
          <w:rFonts w:hint="eastAsia"/>
        </w:rPr>
        <w:t>月）</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5"/>
        <w:gridCol w:w="1319"/>
      </w:tblGrid>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Times New Roman"/>
                <w:b/>
                <w:bCs/>
                <w:color w:val="000000"/>
                <w:kern w:val="0"/>
                <w:szCs w:val="21"/>
              </w:rPr>
            </w:pPr>
            <w:r w:rsidRPr="00EE143F">
              <w:rPr>
                <w:rFonts w:ascii="宋体" w:eastAsia="宋体" w:hAnsi="宋体" w:cs="Times New Roman"/>
                <w:b/>
                <w:bCs/>
                <w:color w:val="000000"/>
                <w:kern w:val="0"/>
                <w:szCs w:val="21"/>
              </w:rPr>
              <w:t>行业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Times New Roman"/>
                <w:b/>
                <w:bCs/>
                <w:color w:val="000000"/>
                <w:kern w:val="0"/>
                <w:szCs w:val="21"/>
              </w:rPr>
            </w:pPr>
            <w:r w:rsidRPr="00EE143F">
              <w:rPr>
                <w:rFonts w:ascii="宋体" w:eastAsia="宋体" w:hAnsi="宋体" w:cs="Times New Roman"/>
                <w:b/>
                <w:bCs/>
                <w:color w:val="000000"/>
                <w:kern w:val="0"/>
                <w:szCs w:val="21"/>
              </w:rPr>
              <w:t>上月环比</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建筑业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1.47%</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教育</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1.46%</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租赁和商务服务业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1.42%</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其他社区、社会和个人服务</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1.41%</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水路运输业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1.40%</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设备制造业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1.39%</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纺织材料和纺织制品业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1.39%</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其他支持和辅助运输业；旅行社活动</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1.39%</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航空运输业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1.37%</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卫生和社会工作</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1.36%</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金融业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1.35%</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运输设备业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1.35%</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其他非金属矿物制品业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1.34%</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金属和金属制品业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1.34%</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房地产业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1.34%</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纸浆、纸、纸张、印刷和出版业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1.33%</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邮政通讯业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1.33%</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其他制造业（含回收利用）</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1.33%</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皮革,皮革制品和鞋业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1.33%</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电力、燃气、水的供应业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1.33%</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橡胶和塑料制品业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1.33%</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酒店和餐饮业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1.32%</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电气和光学设备制造业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1.31%</w:t>
            </w:r>
          </w:p>
        </w:tc>
      </w:tr>
      <w:tr w:rsidR="00EE143F" w:rsidRPr="00EE143F" w:rsidTr="00EE143F">
        <w:trPr>
          <w:trHeight w:val="270"/>
          <w:jc w:val="center"/>
        </w:trPr>
        <w:tc>
          <w:tcPr>
            <w:tcW w:w="4490" w:type="dxa"/>
            <w:shd w:val="clear" w:color="000000" w:fill="00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农林牧渔业</w:t>
            </w:r>
          </w:p>
        </w:tc>
        <w:tc>
          <w:tcPr>
            <w:tcW w:w="1080" w:type="dxa"/>
            <w:shd w:val="clear" w:color="000000" w:fill="00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1.31%</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化学品和化工产品制造业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1.30%</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木材、木材制品业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1.28%</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食品、饮料和烟草业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1.26%</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公共管理和国防业；强制性社会保障</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1.26%</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批发贸易和经纪贸易(除了汽车和摩托车)</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1.25%</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内陆运输业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1.22%</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零售贸易（除了汽车和摩托车）,家用商品修理</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1.21%</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石油加工、炼焦及核燃料加工业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1.06%</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采矿和采石业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1.02%</w:t>
            </w:r>
          </w:p>
        </w:tc>
      </w:tr>
    </w:tbl>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说明：绿色阴影为第一产业，黄色阴影为第二产业，白色为第三产业，下表同。</w:t>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数据来源：</w:t>
      </w:r>
      <w:r>
        <w:rPr>
          <w:rFonts w:ascii="Times New Roman" w:eastAsia="宋体" w:hAnsi="Times New Roman" w:cs="Times New Roman" w:hint="eastAsia"/>
          <w:sz w:val="18"/>
          <w:szCs w:val="18"/>
        </w:rPr>
        <w:t>IWEP-HEER</w:t>
      </w:r>
      <w:r>
        <w:rPr>
          <w:rFonts w:ascii="Times New Roman" w:eastAsia="宋体" w:hAnsi="Times New Roman" w:cs="Times New Roman" w:hint="eastAsia"/>
          <w:sz w:val="18"/>
          <w:szCs w:val="18"/>
        </w:rPr>
        <w:t>数据库，作者计算，下表同。</w:t>
      </w:r>
    </w:p>
    <w:p w:rsidR="00963E97" w:rsidRDefault="00963E97">
      <w:pPr>
        <w:spacing w:line="360" w:lineRule="auto"/>
        <w:ind w:firstLine="420"/>
        <w:rPr>
          <w:rFonts w:ascii="Times New Roman" w:eastAsia="宋体" w:hAnsi="Times New Roman" w:cs="Times New Roman"/>
          <w:sz w:val="18"/>
          <w:szCs w:val="18"/>
        </w:rPr>
      </w:pPr>
    </w:p>
    <w:p w:rsidR="00E6154C" w:rsidRDefault="00E6154C">
      <w:pPr>
        <w:spacing w:line="360" w:lineRule="auto"/>
        <w:ind w:firstLine="420"/>
        <w:rPr>
          <w:rFonts w:ascii="Times New Roman" w:eastAsia="宋体" w:hAnsi="Times New Roman" w:cs="Times New Roman"/>
          <w:sz w:val="18"/>
          <w:szCs w:val="18"/>
        </w:rPr>
      </w:pPr>
    </w:p>
    <w:p w:rsidR="00963E97" w:rsidRDefault="00DD286C">
      <w:pPr>
        <w:pStyle w:val="a3"/>
        <w:keepNext/>
        <w:jc w:val="center"/>
      </w:pPr>
      <w:r>
        <w:lastRenderedPageBreak/>
        <w:t>表</w:t>
      </w:r>
      <w:r w:rsidR="00185B38">
        <w:fldChar w:fldCharType="begin"/>
      </w:r>
      <w:r>
        <w:instrText xml:space="preserve"> SEQ </w:instrText>
      </w:r>
      <w:r>
        <w:instrText>表格</w:instrText>
      </w:r>
      <w:r>
        <w:instrText xml:space="preserve"> \* ARABIC </w:instrText>
      </w:r>
      <w:r w:rsidR="00185B38">
        <w:fldChar w:fldCharType="separate"/>
      </w:r>
      <w:r>
        <w:t>2</w:t>
      </w:r>
      <w:r w:rsidR="00185B38">
        <w:fldChar w:fldCharType="end"/>
      </w:r>
      <w:r>
        <w:t xml:space="preserve"> </w:t>
      </w:r>
      <w:r>
        <w:rPr>
          <w:rFonts w:hint="eastAsia"/>
        </w:rPr>
        <w:t>分行业基于增加值人民币有效汇率同比变动（</w:t>
      </w:r>
      <w:r>
        <w:rPr>
          <w:rFonts w:hint="eastAsia"/>
        </w:rPr>
        <w:t>20</w:t>
      </w:r>
      <w:r w:rsidR="00EE143F">
        <w:rPr>
          <w:rFonts w:hint="eastAsia"/>
        </w:rPr>
        <w:t>20</w:t>
      </w:r>
      <w:r>
        <w:rPr>
          <w:rFonts w:hint="eastAsia"/>
        </w:rPr>
        <w:t>年</w:t>
      </w:r>
      <w:r w:rsidR="00BA7900">
        <w:rPr>
          <w:rFonts w:hint="eastAsia"/>
        </w:rPr>
        <w:t>1</w:t>
      </w:r>
      <w:r>
        <w:rPr>
          <w:rFonts w:hint="eastAsia"/>
        </w:rPr>
        <w:t>月）</w:t>
      </w:r>
    </w:p>
    <w:tbl>
      <w:tblPr>
        <w:tblW w:w="6804"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5"/>
        <w:gridCol w:w="1319"/>
      </w:tblGrid>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Times New Roman"/>
                <w:b/>
                <w:bCs/>
                <w:color w:val="000000"/>
                <w:kern w:val="0"/>
                <w:szCs w:val="21"/>
              </w:rPr>
            </w:pPr>
            <w:r w:rsidRPr="00EE143F">
              <w:rPr>
                <w:rFonts w:ascii="宋体" w:eastAsia="宋体" w:hAnsi="宋体" w:cs="Times New Roman"/>
                <w:b/>
                <w:bCs/>
                <w:color w:val="000000"/>
                <w:kern w:val="0"/>
                <w:szCs w:val="21"/>
              </w:rPr>
              <w:t>行业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Times New Roman"/>
                <w:b/>
                <w:bCs/>
                <w:color w:val="000000"/>
                <w:kern w:val="0"/>
                <w:szCs w:val="21"/>
              </w:rPr>
            </w:pPr>
            <w:r w:rsidRPr="00EE143F">
              <w:rPr>
                <w:rFonts w:ascii="宋体" w:eastAsia="宋体" w:hAnsi="宋体" w:cs="Times New Roman"/>
                <w:b/>
                <w:bCs/>
                <w:color w:val="000000"/>
                <w:kern w:val="0"/>
                <w:szCs w:val="21"/>
              </w:rPr>
              <w:t>上年同比</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石油加工、炼焦及核燃料加工业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-2.15%</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采矿和采石业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-1.70%</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批发贸易和经纪贸易(除了汽车和摩托车)</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-1.36%</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公共管理和国防业；强制性社会保障</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-1.28%</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内陆运输业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-1.26%</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木材、木材制品业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-1.04%</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食品、饮料和烟草业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-1.03%</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酒店和餐饮业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-0.97%</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其他制造业（含回收利用）</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-0.97%</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金融业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-0.88%</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电力、燃气、水的供应业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-0.83%</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纸浆、纸、纸张、印刷和出版业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-0.83%</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电气和光学设备制造业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-0.83%</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化学品和化工产品制造业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-0.82%</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航空运输业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-0.74%</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零售贸易（除了汽车和摩托车）,家用商品修理</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-0.72%</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卫生和社会工作</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-0.71%</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橡胶和塑料制品业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-0.69%</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金属和金属制品业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-0.64%</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房地产业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-0.64%</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邮政通讯业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-0.62%</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租赁和商务服务业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-0.62%</w:t>
            </w:r>
          </w:p>
        </w:tc>
      </w:tr>
      <w:tr w:rsidR="00EE143F" w:rsidRPr="00EE143F" w:rsidTr="00EE143F">
        <w:trPr>
          <w:trHeight w:val="270"/>
          <w:jc w:val="center"/>
        </w:trPr>
        <w:tc>
          <w:tcPr>
            <w:tcW w:w="4490" w:type="dxa"/>
            <w:shd w:val="clear" w:color="000000" w:fill="00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农林牧渔业</w:t>
            </w:r>
          </w:p>
        </w:tc>
        <w:tc>
          <w:tcPr>
            <w:tcW w:w="1080" w:type="dxa"/>
            <w:shd w:val="clear" w:color="000000" w:fill="00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-0.57%</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运输设备业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-0.53%</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其他非金属矿物制品业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-0.50%</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其他支持和辅助运输业；旅行社活动</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-0.45%</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设备制造业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-0.45%</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水路运输业</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-0.24%</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教育</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-0.02%</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纺织材料和纺织制品业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0.12%</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建筑业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0.13%</w:t>
            </w:r>
          </w:p>
        </w:tc>
      </w:tr>
      <w:tr w:rsidR="00EE143F" w:rsidRPr="00EE143F" w:rsidTr="00EE143F">
        <w:trPr>
          <w:trHeight w:val="270"/>
          <w:jc w:val="center"/>
        </w:trPr>
        <w:tc>
          <w:tcPr>
            <w:tcW w:w="449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皮革,皮革制品和鞋业</w:t>
            </w:r>
          </w:p>
        </w:tc>
        <w:tc>
          <w:tcPr>
            <w:tcW w:w="1080" w:type="dxa"/>
            <w:shd w:val="clear" w:color="000000" w:fill="FFFF00"/>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0.26%</w:t>
            </w:r>
          </w:p>
        </w:tc>
      </w:tr>
      <w:tr w:rsidR="00EE143F" w:rsidRPr="00EE143F" w:rsidTr="00EE143F">
        <w:trPr>
          <w:trHeight w:val="270"/>
          <w:jc w:val="center"/>
        </w:trPr>
        <w:tc>
          <w:tcPr>
            <w:tcW w:w="449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其他社区、社会和个人服务</w:t>
            </w:r>
          </w:p>
        </w:tc>
        <w:tc>
          <w:tcPr>
            <w:tcW w:w="1080" w:type="dxa"/>
            <w:shd w:val="clear" w:color="auto" w:fill="auto"/>
            <w:noWrap/>
            <w:vAlign w:val="center"/>
            <w:hideMark/>
          </w:tcPr>
          <w:p w:rsidR="00EE143F" w:rsidRPr="00EE143F" w:rsidRDefault="00EE143F" w:rsidP="00EE143F">
            <w:pPr>
              <w:widowControl/>
              <w:jc w:val="center"/>
              <w:rPr>
                <w:rFonts w:ascii="宋体" w:eastAsia="宋体" w:hAnsi="宋体" w:cs="宋体"/>
                <w:color w:val="000000"/>
                <w:kern w:val="0"/>
                <w:szCs w:val="21"/>
              </w:rPr>
            </w:pPr>
            <w:r w:rsidRPr="00EE143F">
              <w:rPr>
                <w:rFonts w:ascii="宋体" w:eastAsia="宋体" w:hAnsi="宋体" w:cs="宋体" w:hint="eastAsia"/>
                <w:color w:val="000000"/>
                <w:kern w:val="0"/>
                <w:szCs w:val="21"/>
              </w:rPr>
              <w:t>-0.54%</w:t>
            </w:r>
          </w:p>
        </w:tc>
      </w:tr>
    </w:tbl>
    <w:p w:rsidR="00963E97" w:rsidRDefault="00963E97">
      <w:pPr>
        <w:spacing w:line="360" w:lineRule="auto"/>
        <w:jc w:val="center"/>
        <w:rPr>
          <w:rFonts w:ascii="Times New Roman" w:eastAsia="宋体" w:hAnsi="Times New Roman" w:cs="Times New Roman"/>
          <w:sz w:val="24"/>
          <w:szCs w:val="24"/>
        </w:rPr>
      </w:pPr>
    </w:p>
    <w:sectPr w:rsidR="00963E97" w:rsidSect="00963E97">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270" w:rsidRDefault="00DB1270" w:rsidP="00963E97">
      <w:r>
        <w:separator/>
      </w:r>
    </w:p>
  </w:endnote>
  <w:endnote w:type="continuationSeparator" w:id="0">
    <w:p w:rsidR="00DB1270" w:rsidRDefault="00DB1270" w:rsidP="00963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270" w:rsidRDefault="00DB1270" w:rsidP="00963E97">
      <w:r>
        <w:separator/>
      </w:r>
    </w:p>
  </w:footnote>
  <w:footnote w:type="continuationSeparator" w:id="0">
    <w:p w:rsidR="00DB1270" w:rsidRDefault="00DB1270" w:rsidP="00963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97" w:rsidRDefault="00185B38">
    <w:pPr>
      <w:pStyle w:val="a6"/>
    </w:pPr>
    <w:r>
      <w:pict>
        <v:rect id="_x0000_s1026" style="position:absolute;left:0;text-align:left;margin-left:90pt;margin-top:37.85pt;width:468.5pt;height:21.3pt;z-index:-251658752;mso-width-percent:1000;mso-height-percent:27;mso-wrap-distance-left:9.35pt;mso-wrap-distance-right:9.35pt;mso-position-horizontal-relative:page;mso-position-vertical-relative:page;mso-width-percent:1000;mso-height-percent:27;mso-width-relative:margin;v-text-anchor:middle" o:gfxdata="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tP9iNUAAAAE&#10;AQAADwAAAAAAAAABACAAAAAiAAAAZHJzL2Rvd25yZXYueG1sUEsBAhQAFAAAAAgAh07iQBlJFBlY&#10;AgAAjAQAAA4AAAAAAAAAAQAgAAAAJAEAAGRycy9lMm9Eb2MueG1sUEsFBgAAAAAGAAYAWQEAAO4F&#10;AAAAAA==&#10;" o:allowoverlap="f" fillcolor="#4472c4 [3204]" stroked="f" strokeweight="1pt">
          <v:textbox style="mso-fit-shape-to-text:t">
            <w:txbxContent>
              <w:sdt>
                <w:sdtPr>
                  <w:rPr>
                    <w:rFonts w:ascii="黑体" w:eastAsia="黑体" w:hAnsi="黑体" w:cs="Times New Roman"/>
                    <w:b/>
                    <w:caps/>
                    <w:color w:val="FFFFFF" w:themeColor="background1"/>
                    <w:sz w:val="28"/>
                    <w:szCs w:val="28"/>
                  </w:rPr>
                  <w:alias w:val="标题"/>
                  <w:id w:val="1189017394"/>
                  <w:text/>
                </w:sdtPr>
                <w:sdtContent>
                  <w:p w:rsidR="00963E97" w:rsidRDefault="00DD286C">
                    <w:pPr>
                      <w:pStyle w:val="a6"/>
                      <w:jc w:val="right"/>
                      <w:rPr>
                        <w:caps/>
                        <w:color w:val="FFFFFF" w:themeColor="background1"/>
                      </w:rPr>
                    </w:pPr>
                    <w:r>
                      <w:rPr>
                        <w:rFonts w:ascii="黑体" w:eastAsia="黑体" w:hAnsi="黑体" w:cs="Times New Roman"/>
                        <w:b/>
                        <w:caps/>
                        <w:color w:val="FFFFFF" w:themeColor="background1"/>
                        <w:sz w:val="28"/>
                        <w:szCs w:val="28"/>
                      </w:rPr>
                      <w:t>IWEP-HEER数据月报</w:t>
                    </w:r>
                  </w:p>
                </w:sdtContent>
              </w:sdt>
            </w:txbxContent>
          </v:textbox>
          <w10:wrap type="square"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20555"/>
    <w:rsid w:val="00030BDE"/>
    <w:rsid w:val="0007302D"/>
    <w:rsid w:val="000E6CCC"/>
    <w:rsid w:val="000F7043"/>
    <w:rsid w:val="001657EF"/>
    <w:rsid w:val="00185B38"/>
    <w:rsid w:val="001A5BBB"/>
    <w:rsid w:val="001F430C"/>
    <w:rsid w:val="002034D7"/>
    <w:rsid w:val="002041B5"/>
    <w:rsid w:val="00210905"/>
    <w:rsid w:val="002E1669"/>
    <w:rsid w:val="002E5988"/>
    <w:rsid w:val="002F79CC"/>
    <w:rsid w:val="0030403D"/>
    <w:rsid w:val="0033361A"/>
    <w:rsid w:val="0033543A"/>
    <w:rsid w:val="00364641"/>
    <w:rsid w:val="003B0439"/>
    <w:rsid w:val="003E40C8"/>
    <w:rsid w:val="00420555"/>
    <w:rsid w:val="00420EED"/>
    <w:rsid w:val="00484922"/>
    <w:rsid w:val="004F5D81"/>
    <w:rsid w:val="00506398"/>
    <w:rsid w:val="00510CF4"/>
    <w:rsid w:val="005401B4"/>
    <w:rsid w:val="00555F8C"/>
    <w:rsid w:val="005632E9"/>
    <w:rsid w:val="00581E14"/>
    <w:rsid w:val="00590700"/>
    <w:rsid w:val="005B7DA5"/>
    <w:rsid w:val="005F1EFD"/>
    <w:rsid w:val="00626C75"/>
    <w:rsid w:val="0063138E"/>
    <w:rsid w:val="006617DC"/>
    <w:rsid w:val="0066223B"/>
    <w:rsid w:val="0066259E"/>
    <w:rsid w:val="00663E6E"/>
    <w:rsid w:val="00673ABE"/>
    <w:rsid w:val="00696DBB"/>
    <w:rsid w:val="006B6952"/>
    <w:rsid w:val="006C3B74"/>
    <w:rsid w:val="0070118B"/>
    <w:rsid w:val="0072145D"/>
    <w:rsid w:val="00735A5F"/>
    <w:rsid w:val="0077323E"/>
    <w:rsid w:val="007C10A0"/>
    <w:rsid w:val="007C1E64"/>
    <w:rsid w:val="0087353E"/>
    <w:rsid w:val="00884DA6"/>
    <w:rsid w:val="008B2ABC"/>
    <w:rsid w:val="00930401"/>
    <w:rsid w:val="00934FD1"/>
    <w:rsid w:val="0093749D"/>
    <w:rsid w:val="00963E97"/>
    <w:rsid w:val="00971781"/>
    <w:rsid w:val="00973962"/>
    <w:rsid w:val="009A228C"/>
    <w:rsid w:val="009F1DB0"/>
    <w:rsid w:val="00A522C7"/>
    <w:rsid w:val="00A62132"/>
    <w:rsid w:val="00A62A9C"/>
    <w:rsid w:val="00A76629"/>
    <w:rsid w:val="00A768B8"/>
    <w:rsid w:val="00A952E7"/>
    <w:rsid w:val="00AB160F"/>
    <w:rsid w:val="00AC6552"/>
    <w:rsid w:val="00AF6541"/>
    <w:rsid w:val="00B21DF0"/>
    <w:rsid w:val="00B35328"/>
    <w:rsid w:val="00B43D85"/>
    <w:rsid w:val="00BA7900"/>
    <w:rsid w:val="00BB5ED9"/>
    <w:rsid w:val="00BE4C5C"/>
    <w:rsid w:val="00C57878"/>
    <w:rsid w:val="00C968D0"/>
    <w:rsid w:val="00CB292B"/>
    <w:rsid w:val="00CC1B60"/>
    <w:rsid w:val="00CC52EF"/>
    <w:rsid w:val="00CD328F"/>
    <w:rsid w:val="00CE77E0"/>
    <w:rsid w:val="00D44972"/>
    <w:rsid w:val="00DB1270"/>
    <w:rsid w:val="00DB1B58"/>
    <w:rsid w:val="00DD286C"/>
    <w:rsid w:val="00E25128"/>
    <w:rsid w:val="00E5333D"/>
    <w:rsid w:val="00E6154C"/>
    <w:rsid w:val="00E64D05"/>
    <w:rsid w:val="00E86EE5"/>
    <w:rsid w:val="00E8756C"/>
    <w:rsid w:val="00EC5B11"/>
    <w:rsid w:val="00EE143F"/>
    <w:rsid w:val="00F16000"/>
    <w:rsid w:val="00F16984"/>
    <w:rsid w:val="00F30C3C"/>
    <w:rsid w:val="00FB13AE"/>
    <w:rsid w:val="00FB312C"/>
    <w:rsid w:val="00FB699C"/>
    <w:rsid w:val="00FC627E"/>
    <w:rsid w:val="1016162C"/>
    <w:rsid w:val="274B52E3"/>
    <w:rsid w:val="4C372485"/>
    <w:rsid w:val="565A0026"/>
    <w:rsid w:val="65EB2A13"/>
    <w:rsid w:val="664622BD"/>
    <w:rsid w:val="7BCC4B9B"/>
    <w:rsid w:val="7C1A214A"/>
    <w:rsid w:val="7DE50D2D"/>
    <w:rsid w:val="7E3F0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9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963E97"/>
    <w:rPr>
      <w:rFonts w:asciiTheme="majorHAnsi" w:eastAsia="黑体" w:hAnsiTheme="majorHAnsi" w:cstheme="majorBidi"/>
      <w:sz w:val="20"/>
      <w:szCs w:val="20"/>
    </w:rPr>
  </w:style>
  <w:style w:type="paragraph" w:styleId="a4">
    <w:name w:val="Balloon Text"/>
    <w:basedOn w:val="a"/>
    <w:link w:val="Char"/>
    <w:uiPriority w:val="99"/>
    <w:semiHidden/>
    <w:unhideWhenUsed/>
    <w:qFormat/>
    <w:rsid w:val="00963E97"/>
    <w:rPr>
      <w:sz w:val="18"/>
      <w:szCs w:val="18"/>
    </w:rPr>
  </w:style>
  <w:style w:type="paragraph" w:styleId="a5">
    <w:name w:val="footer"/>
    <w:basedOn w:val="a"/>
    <w:link w:val="Char0"/>
    <w:uiPriority w:val="99"/>
    <w:unhideWhenUsed/>
    <w:qFormat/>
    <w:rsid w:val="00963E97"/>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963E97"/>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963E97"/>
    <w:rPr>
      <w:color w:val="0563C1" w:themeColor="hyperlink"/>
      <w:u w:val="single"/>
    </w:rPr>
  </w:style>
  <w:style w:type="character" w:customStyle="1" w:styleId="Char1">
    <w:name w:val="页眉 Char"/>
    <w:basedOn w:val="a0"/>
    <w:link w:val="a6"/>
    <w:uiPriority w:val="99"/>
    <w:qFormat/>
    <w:rsid w:val="00963E97"/>
    <w:rPr>
      <w:sz w:val="18"/>
      <w:szCs w:val="18"/>
    </w:rPr>
  </w:style>
  <w:style w:type="character" w:customStyle="1" w:styleId="Char0">
    <w:name w:val="页脚 Char"/>
    <w:basedOn w:val="a0"/>
    <w:link w:val="a5"/>
    <w:uiPriority w:val="99"/>
    <w:qFormat/>
    <w:rsid w:val="00963E97"/>
    <w:rPr>
      <w:sz w:val="18"/>
      <w:szCs w:val="18"/>
    </w:rPr>
  </w:style>
  <w:style w:type="paragraph" w:styleId="a8">
    <w:name w:val="List Paragraph"/>
    <w:basedOn w:val="a"/>
    <w:uiPriority w:val="34"/>
    <w:qFormat/>
    <w:rsid w:val="00963E97"/>
    <w:pPr>
      <w:ind w:firstLineChars="200" w:firstLine="420"/>
    </w:pPr>
  </w:style>
  <w:style w:type="character" w:customStyle="1" w:styleId="Char">
    <w:name w:val="批注框文本 Char"/>
    <w:basedOn w:val="a0"/>
    <w:link w:val="a4"/>
    <w:uiPriority w:val="99"/>
    <w:semiHidden/>
    <w:qFormat/>
    <w:rsid w:val="00963E97"/>
    <w:rPr>
      <w:sz w:val="18"/>
      <w:szCs w:val="18"/>
    </w:rPr>
  </w:style>
  <w:style w:type="character" w:customStyle="1" w:styleId="Mention">
    <w:name w:val="Mention"/>
    <w:basedOn w:val="a0"/>
    <w:uiPriority w:val="99"/>
    <w:semiHidden/>
    <w:unhideWhenUsed/>
    <w:qFormat/>
    <w:rsid w:val="00963E97"/>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597063272">
      <w:bodyDiv w:val="1"/>
      <w:marLeft w:val="0"/>
      <w:marRight w:val="0"/>
      <w:marTop w:val="0"/>
      <w:marBottom w:val="0"/>
      <w:divBdr>
        <w:top w:val="none" w:sz="0" w:space="0" w:color="auto"/>
        <w:left w:val="none" w:sz="0" w:space="0" w:color="auto"/>
        <w:bottom w:val="none" w:sz="0" w:space="0" w:color="auto"/>
        <w:right w:val="none" w:sz="0" w:space="0" w:color="auto"/>
      </w:divBdr>
    </w:div>
    <w:div w:id="756563309">
      <w:bodyDiv w:val="1"/>
      <w:marLeft w:val="0"/>
      <w:marRight w:val="0"/>
      <w:marTop w:val="0"/>
      <w:marBottom w:val="0"/>
      <w:divBdr>
        <w:top w:val="none" w:sz="0" w:space="0" w:color="auto"/>
        <w:left w:val="none" w:sz="0" w:space="0" w:color="auto"/>
        <w:bottom w:val="none" w:sz="0" w:space="0" w:color="auto"/>
        <w:right w:val="none" w:sz="0" w:space="0" w:color="auto"/>
      </w:divBdr>
    </w:div>
    <w:div w:id="924149996">
      <w:bodyDiv w:val="1"/>
      <w:marLeft w:val="0"/>
      <w:marRight w:val="0"/>
      <w:marTop w:val="0"/>
      <w:marBottom w:val="0"/>
      <w:divBdr>
        <w:top w:val="none" w:sz="0" w:space="0" w:color="auto"/>
        <w:left w:val="none" w:sz="0" w:space="0" w:color="auto"/>
        <w:bottom w:val="none" w:sz="0" w:space="0" w:color="auto"/>
        <w:right w:val="none" w:sz="0" w:space="0" w:color="auto"/>
      </w:divBdr>
    </w:div>
    <w:div w:id="1029379352">
      <w:bodyDiv w:val="1"/>
      <w:marLeft w:val="0"/>
      <w:marRight w:val="0"/>
      <w:marTop w:val="0"/>
      <w:marBottom w:val="0"/>
      <w:divBdr>
        <w:top w:val="none" w:sz="0" w:space="0" w:color="auto"/>
        <w:left w:val="none" w:sz="0" w:space="0" w:color="auto"/>
        <w:bottom w:val="none" w:sz="0" w:space="0" w:color="auto"/>
        <w:right w:val="none" w:sz="0" w:space="0" w:color="auto"/>
      </w:divBdr>
    </w:div>
    <w:div w:id="1480535133">
      <w:bodyDiv w:val="1"/>
      <w:marLeft w:val="0"/>
      <w:marRight w:val="0"/>
      <w:marTop w:val="0"/>
      <w:marBottom w:val="0"/>
      <w:divBdr>
        <w:top w:val="none" w:sz="0" w:space="0" w:color="auto"/>
        <w:left w:val="none" w:sz="0" w:space="0" w:color="auto"/>
        <w:bottom w:val="none" w:sz="0" w:space="0" w:color="auto"/>
        <w:right w:val="none" w:sz="0" w:space="0" w:color="auto"/>
      </w:divBdr>
    </w:div>
    <w:div w:id="201834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wep.org.cn/iwephe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A0754-42D1-4D73-8A6C-87DD6CA0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366</Words>
  <Characters>2090</Characters>
  <Application>Microsoft Office Word</Application>
  <DocSecurity>0</DocSecurity>
  <Lines>17</Lines>
  <Paragraphs>4</Paragraphs>
  <ScaleCrop>false</ScaleCrop>
  <Company>微软中国</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IWEP-HEER数据月报</dc:title>
  <dc:creator>Panpan Yang</dc:creator>
  <cp:lastModifiedBy>微软用户</cp:lastModifiedBy>
  <cp:revision>6</cp:revision>
  <dcterms:created xsi:type="dcterms:W3CDTF">2020-03-28T08:08:00Z</dcterms:created>
  <dcterms:modified xsi:type="dcterms:W3CDTF">2020-03-30T00:58:00Z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