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D7B2C" w14:textId="07B2EA57" w:rsidR="008825D2" w:rsidRPr="008419EE" w:rsidRDefault="00590A48" w:rsidP="008419EE">
      <w:pPr>
        <w:snapToGrid w:val="0"/>
        <w:jc w:val="center"/>
        <w:rPr>
          <w:rFonts w:ascii="Times New Roman" w:hAnsi="Times New Roman" w:cs="Times New Roman"/>
          <w:sz w:val="30"/>
          <w:szCs w:val="30"/>
        </w:rPr>
      </w:pPr>
      <w:r w:rsidRPr="008419EE">
        <w:rPr>
          <w:rFonts w:ascii="Times New Roman" w:hAnsi="Times New Roman" w:cs="Times New Roman" w:hint="eastAsia"/>
          <w:sz w:val="30"/>
          <w:szCs w:val="30"/>
        </w:rPr>
        <w:t>国际金融</w:t>
      </w:r>
      <w:r w:rsidR="00BA185F" w:rsidRPr="008419EE">
        <w:rPr>
          <w:rFonts w:ascii="Times New Roman" w:hAnsi="Times New Roman" w:cs="Times New Roman"/>
          <w:sz w:val="30"/>
          <w:szCs w:val="30"/>
        </w:rPr>
        <w:t>学</w:t>
      </w:r>
      <w:r w:rsidR="00BA185F" w:rsidRPr="008419EE">
        <w:rPr>
          <w:rFonts w:ascii="Times New Roman" w:hAnsi="Times New Roman" w:cs="Times New Roman"/>
          <w:sz w:val="30"/>
          <w:szCs w:val="30"/>
        </w:rPr>
        <w:t>2019</w:t>
      </w:r>
      <w:r w:rsidR="00BA185F" w:rsidRPr="008419EE">
        <w:rPr>
          <w:rFonts w:ascii="Times New Roman" w:hAnsi="Times New Roman" w:cs="Times New Roman"/>
          <w:sz w:val="30"/>
          <w:szCs w:val="30"/>
        </w:rPr>
        <w:t>年最佳论文</w:t>
      </w:r>
      <w:r w:rsidR="00BA185F" w:rsidRPr="008419EE">
        <w:rPr>
          <w:rFonts w:ascii="Times New Roman" w:hAnsi="Times New Roman" w:cs="Times New Roman"/>
          <w:sz w:val="30"/>
          <w:szCs w:val="30"/>
        </w:rPr>
        <w:t>TOP10</w:t>
      </w:r>
      <w:r w:rsidR="00BA185F" w:rsidRPr="008419EE">
        <w:rPr>
          <w:rFonts w:ascii="Times New Roman" w:hAnsi="Times New Roman" w:cs="Times New Roman"/>
          <w:sz w:val="30"/>
          <w:szCs w:val="30"/>
        </w:rPr>
        <w:t>评选：候选论文摘要</w:t>
      </w:r>
    </w:p>
    <w:p w14:paraId="4FFD5E19" w14:textId="75D4D1F6" w:rsidR="008825D2" w:rsidRPr="008419EE" w:rsidRDefault="00BA185F" w:rsidP="008419EE">
      <w:pPr>
        <w:snapToGrid w:val="0"/>
        <w:jc w:val="center"/>
        <w:rPr>
          <w:rFonts w:ascii="Times New Roman" w:hAnsi="Times New Roman" w:cs="Times New Roman"/>
          <w:sz w:val="30"/>
          <w:szCs w:val="30"/>
        </w:rPr>
      </w:pPr>
      <w:r w:rsidRPr="008419EE">
        <w:rPr>
          <w:rFonts w:ascii="Times New Roman" w:hAnsi="Times New Roman" w:cs="Times New Roman"/>
          <w:sz w:val="30"/>
          <w:szCs w:val="30"/>
        </w:rPr>
        <w:t>《世界经济年鉴》编辑部，</w:t>
      </w:r>
      <w:r w:rsidRPr="008419EE">
        <w:rPr>
          <w:rFonts w:ascii="Times New Roman" w:hAnsi="Times New Roman" w:cs="Times New Roman"/>
          <w:sz w:val="30"/>
          <w:szCs w:val="30"/>
        </w:rPr>
        <w:t>2020.0</w:t>
      </w:r>
      <w:r w:rsidR="00720206" w:rsidRPr="008419EE">
        <w:rPr>
          <w:rFonts w:ascii="Times New Roman" w:hAnsi="Times New Roman" w:cs="Times New Roman"/>
          <w:sz w:val="30"/>
          <w:szCs w:val="30"/>
        </w:rPr>
        <w:t>7</w:t>
      </w:r>
      <w:r w:rsidRPr="008419EE">
        <w:rPr>
          <w:rFonts w:ascii="Times New Roman" w:hAnsi="Times New Roman" w:cs="Times New Roman"/>
          <w:sz w:val="30"/>
          <w:szCs w:val="30"/>
        </w:rPr>
        <w:t>.</w:t>
      </w:r>
      <w:r w:rsidR="00720206" w:rsidRPr="008419EE">
        <w:rPr>
          <w:rFonts w:ascii="Times New Roman" w:hAnsi="Times New Roman" w:cs="Times New Roman"/>
          <w:sz w:val="30"/>
          <w:szCs w:val="30"/>
        </w:rPr>
        <w:t>10</w:t>
      </w:r>
    </w:p>
    <w:p w14:paraId="0471E938"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p>
    <w:p w14:paraId="6A349FF0"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p>
    <w:p w14:paraId="3C121D53"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r w:rsidR="00BA185F" w:rsidRPr="008825D2">
        <w:rPr>
          <w:rFonts w:ascii="宋体" w:eastAsia="宋体" w:hAnsi="宋体" w:cs="Times New Roman"/>
        </w:rPr>
        <w:t>（一）候选中文论文</w:t>
      </w:r>
    </w:p>
    <w:p w14:paraId="4AD1768B"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r w:rsidR="00BA185F" w:rsidRPr="008825D2">
        <w:rPr>
          <w:rFonts w:ascii="宋体" w:eastAsia="宋体" w:hAnsi="宋体" w:cs="Times New Roman"/>
        </w:rPr>
        <w:t>【FC01】全球贸易摩擦对国际货币体系的影响</w:t>
      </w:r>
      <w:proofErr w:type="gramStart"/>
      <w:r w:rsidR="00BA185F" w:rsidRPr="008825D2">
        <w:rPr>
          <w:rFonts w:ascii="宋体" w:eastAsia="宋体" w:hAnsi="宋体" w:cs="Times New Roman"/>
        </w:rPr>
        <w:t xml:space="preserve">　　熊爱宗</w:t>
      </w:r>
      <w:proofErr w:type="gramEnd"/>
      <w:r w:rsidR="00BA185F" w:rsidRPr="008825D2">
        <w:rPr>
          <w:rFonts w:ascii="宋体" w:eastAsia="宋体" w:hAnsi="宋体" w:cs="Times New Roman"/>
        </w:rPr>
        <w:t>（2019），《国际金融研究》，第3期，第46-54页。</w:t>
      </w:r>
    </w:p>
    <w:p w14:paraId="1536189C"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r w:rsidR="00BA185F" w:rsidRPr="008825D2">
        <w:rPr>
          <w:rFonts w:ascii="宋体" w:eastAsia="宋体" w:hAnsi="宋体" w:cs="Times New Roman"/>
        </w:rPr>
        <w:t>由于经常项目是美元对外输出的重要通道,美国通过贸易保护主义强行削减贸易逆差将带来全球美元流动性紧缩压力,其中受到美国贸易摩擦冲击越大的国家受到的影响越大。美元对外供给减少,虽有利于提升投资者对美元的信心,但也可能通过阻碍美元交易媒介和价值储藏职能的发挥使得美元国际货币地位受到负面影响。在美国实施贸易保护主义政策、全球金融环境日益收紧的情况下,储备需求</w:t>
      </w:r>
      <w:proofErr w:type="gramStart"/>
      <w:r w:rsidR="00BA185F" w:rsidRPr="008825D2">
        <w:rPr>
          <w:rFonts w:ascii="宋体" w:eastAsia="宋体" w:hAnsi="宋体" w:cs="Times New Roman"/>
        </w:rPr>
        <w:t>国无论</w:t>
      </w:r>
      <w:proofErr w:type="gramEnd"/>
      <w:r w:rsidR="00BA185F" w:rsidRPr="008825D2">
        <w:rPr>
          <w:rFonts w:ascii="宋体" w:eastAsia="宋体" w:hAnsi="宋体" w:cs="Times New Roman"/>
        </w:rPr>
        <w:t>是通过继续维持对美国经常项目顺差,还是通过资本和金融项目顺差获得美元的难度都有所增大。为摆脱国际货币体系对一国国际收支逆差的依赖,需要对当前基于主权信用货币的国际货币体系进行变革,包括进一步促进国际货币体系多元化、推动</w:t>
      </w:r>
      <w:proofErr w:type="gramStart"/>
      <w:r w:rsidR="00BA185F" w:rsidRPr="008825D2">
        <w:rPr>
          <w:rFonts w:ascii="宋体" w:eastAsia="宋体" w:hAnsi="宋体" w:cs="Times New Roman"/>
        </w:rPr>
        <w:t>超主权</w:t>
      </w:r>
      <w:proofErr w:type="gramEnd"/>
      <w:r w:rsidR="00BA185F" w:rsidRPr="008825D2">
        <w:rPr>
          <w:rFonts w:ascii="宋体" w:eastAsia="宋体" w:hAnsi="宋体" w:cs="Times New Roman"/>
        </w:rPr>
        <w:t xml:space="preserve">货币发展、完善全球金融安全网等。 </w:t>
      </w:r>
    </w:p>
    <w:p w14:paraId="08A756B1"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p>
    <w:p w14:paraId="213D0FEB"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r w:rsidR="00BA185F" w:rsidRPr="008825D2">
        <w:rPr>
          <w:rFonts w:ascii="宋体" w:eastAsia="宋体" w:hAnsi="宋体" w:cs="Times New Roman"/>
        </w:rPr>
        <w:t>【FC02】国际金融投资视角下的货币国际化——指标构建及长短期驱动因素分析　　白晓燕、于晓宁（2019），《国际金融研究》，第3期，第55-64页。</w:t>
      </w:r>
    </w:p>
    <w:p w14:paraId="33F8DC35"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r w:rsidR="00BA185F" w:rsidRPr="008825D2">
        <w:rPr>
          <w:rFonts w:ascii="宋体" w:eastAsia="宋体" w:hAnsi="宋体" w:cs="Times New Roman"/>
        </w:rPr>
        <w:t>本文从国际金融投资视角构建了21种货币1993—2016年的货币国际化指标,通过理论建模分析其驱动因素,并采用混合组均值</w:t>
      </w:r>
      <w:proofErr w:type="gramStart"/>
      <w:r w:rsidR="00BA185F" w:rsidRPr="008825D2">
        <w:rPr>
          <w:rFonts w:ascii="宋体" w:eastAsia="宋体" w:hAnsi="宋体" w:cs="Times New Roman"/>
        </w:rPr>
        <w:t>法估计</w:t>
      </w:r>
      <w:proofErr w:type="gramEnd"/>
      <w:r w:rsidR="00BA185F" w:rsidRPr="008825D2">
        <w:rPr>
          <w:rFonts w:ascii="宋体" w:eastAsia="宋体" w:hAnsi="宋体" w:cs="Times New Roman"/>
        </w:rPr>
        <w:t>的动态异质性面板模型检验各驱动因素的长短期效应。研究发现:短期内货币国际化与汇率波动、经济规模正相关;长期来看,汇率波动表现为抑制作用,即汇率波动在短期为交易者提供高抛低吸的套利机会使其增加投资,但在</w:t>
      </w:r>
      <w:proofErr w:type="gramStart"/>
      <w:r w:rsidR="00BA185F" w:rsidRPr="008825D2">
        <w:rPr>
          <w:rFonts w:ascii="宋体" w:eastAsia="宋体" w:hAnsi="宋体" w:cs="Times New Roman"/>
        </w:rPr>
        <w:t>长期会</w:t>
      </w:r>
      <w:proofErr w:type="gramEnd"/>
      <w:r w:rsidR="00BA185F" w:rsidRPr="008825D2">
        <w:rPr>
          <w:rFonts w:ascii="宋体" w:eastAsia="宋体" w:hAnsi="宋体" w:cs="Times New Roman"/>
        </w:rPr>
        <w:t xml:space="preserve">打击交易者的信心。长期驱动因素还包括货币资产收益、以金融市场发展和资本管制衡量的交易成本和经济基本面。在人民币国际化的长短期路径设计中,短期内发展经济是推动人民币国际化最具成效的方式,而长期可以通过提高资产收益吸引投资,同时防范汇率大幅波动,谨慎处理金融市场发展和资本开放。 </w:t>
      </w:r>
    </w:p>
    <w:p w14:paraId="0AAE4A3F"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p>
    <w:p w14:paraId="4065F982"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r w:rsidR="00BA185F" w:rsidRPr="008825D2">
        <w:rPr>
          <w:rFonts w:ascii="宋体" w:eastAsia="宋体" w:hAnsi="宋体" w:cs="Times New Roman"/>
        </w:rPr>
        <w:t>【FC03】持有高额外汇储备会促进还是抑制本币国际化？——基于供求均衡视角和多国数据的分析　　李艳丽、曾启（2019），《国际金融研究》，第8期，第56-65页。</w:t>
      </w:r>
    </w:p>
    <w:p w14:paraId="1BE12B87"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r w:rsidR="00BA185F" w:rsidRPr="008825D2">
        <w:rPr>
          <w:rFonts w:ascii="宋体" w:eastAsia="宋体" w:hAnsi="宋体" w:cs="Times New Roman"/>
        </w:rPr>
        <w:t>一国持有较高规模的外汇储备可以增加本国货币作为世界货币的需求,但是不利于本国货币作为世界货币的供给。理论模型显示,从世界货币的供求均衡角度分析,存在一个最优的外汇储备规模。在</w:t>
      </w:r>
      <w:proofErr w:type="gramStart"/>
      <w:r w:rsidR="00BA185F" w:rsidRPr="008825D2">
        <w:rPr>
          <w:rFonts w:ascii="宋体" w:eastAsia="宋体" w:hAnsi="宋体" w:cs="Times New Roman"/>
        </w:rPr>
        <w:t>该规模</w:t>
      </w:r>
      <w:proofErr w:type="gramEnd"/>
      <w:r w:rsidR="00BA185F" w:rsidRPr="008825D2">
        <w:rPr>
          <w:rFonts w:ascii="宋体" w:eastAsia="宋体" w:hAnsi="宋体" w:cs="Times New Roman"/>
        </w:rPr>
        <w:t>以下,外汇储备的增加会促进本币的国际化;超过</w:t>
      </w:r>
      <w:proofErr w:type="gramStart"/>
      <w:r w:rsidR="00BA185F" w:rsidRPr="008825D2">
        <w:rPr>
          <w:rFonts w:ascii="宋体" w:eastAsia="宋体" w:hAnsi="宋体" w:cs="Times New Roman"/>
        </w:rPr>
        <w:t>该规模</w:t>
      </w:r>
      <w:proofErr w:type="gramEnd"/>
      <w:r w:rsidR="00BA185F" w:rsidRPr="008825D2">
        <w:rPr>
          <w:rFonts w:ascii="宋体" w:eastAsia="宋体" w:hAnsi="宋体" w:cs="Times New Roman"/>
        </w:rPr>
        <w:t>之后,外汇储备的增加反而会妨碍本币的国际化。运用STR方法对美元、日元等七种货币的国际化进程与货币发行国(地区)外汇储备规模关系的实证检验显示,外汇储备规模对大多数货币国际化的影响呈现先</w:t>
      </w:r>
      <w:proofErr w:type="gramStart"/>
      <w:r w:rsidR="00BA185F" w:rsidRPr="008825D2">
        <w:rPr>
          <w:rFonts w:ascii="宋体" w:eastAsia="宋体" w:hAnsi="宋体" w:cs="Times New Roman"/>
        </w:rPr>
        <w:t>正后负的</w:t>
      </w:r>
      <w:proofErr w:type="gramEnd"/>
      <w:r w:rsidR="00BA185F" w:rsidRPr="008825D2">
        <w:rPr>
          <w:rFonts w:ascii="宋体" w:eastAsia="宋体" w:hAnsi="宋体" w:cs="Times New Roman"/>
        </w:rPr>
        <w:t xml:space="preserve">特点。基于以上分析结论,本文对人民币国际化以及中国外汇储备的管理提出了建议。 </w:t>
      </w:r>
    </w:p>
    <w:p w14:paraId="029A3D0E"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p>
    <w:p w14:paraId="09F18DA3"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proofErr w:type="gramStart"/>
      <w:r w:rsidR="00BA185F" w:rsidRPr="008825D2">
        <w:rPr>
          <w:rFonts w:ascii="宋体" w:eastAsia="宋体" w:hAnsi="宋体" w:cs="Times New Roman"/>
        </w:rPr>
        <w:t>【FC04】汇改提高</w:t>
      </w:r>
      <w:proofErr w:type="gramEnd"/>
      <w:r w:rsidR="00BA185F" w:rsidRPr="008825D2">
        <w:rPr>
          <w:rFonts w:ascii="宋体" w:eastAsia="宋体" w:hAnsi="宋体" w:cs="Times New Roman"/>
        </w:rPr>
        <w:t>了人民币国际化水平吗？——基于</w:t>
      </w:r>
      <w:proofErr w:type="gramStart"/>
      <w:r w:rsidR="00BA185F" w:rsidRPr="008825D2">
        <w:rPr>
          <w:rFonts w:ascii="宋体" w:eastAsia="宋体" w:hAnsi="宋体" w:cs="Times New Roman"/>
        </w:rPr>
        <w:t>“7·21”汇改和“8·11”汇改的</w:t>
      </w:r>
      <w:proofErr w:type="gramEnd"/>
      <w:r w:rsidR="00BA185F" w:rsidRPr="008825D2">
        <w:rPr>
          <w:rFonts w:ascii="宋体" w:eastAsia="宋体" w:hAnsi="宋体" w:cs="Times New Roman"/>
        </w:rPr>
        <w:t>视角　　王雪、胡明志（2019），《国际金融研究》，第8期，第76-86页。</w:t>
      </w:r>
    </w:p>
    <w:p w14:paraId="246DCE8E"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r w:rsidR="00BA185F" w:rsidRPr="008825D2">
        <w:rPr>
          <w:rFonts w:ascii="宋体" w:eastAsia="宋体" w:hAnsi="宋体" w:cs="Times New Roman"/>
        </w:rPr>
        <w:t>本文以人民币两次汇率改革为节点,利用1999年1月4日—2017年8月31日外汇市场交易数据,基于DAG-SEM与网络分析法,分阶段</w:t>
      </w:r>
      <w:proofErr w:type="gramStart"/>
      <w:r w:rsidR="00BA185F" w:rsidRPr="008825D2">
        <w:rPr>
          <w:rFonts w:ascii="宋体" w:eastAsia="宋体" w:hAnsi="宋体" w:cs="Times New Roman"/>
        </w:rPr>
        <w:t>对汇改前后</w:t>
      </w:r>
      <w:proofErr w:type="gramEnd"/>
      <w:r w:rsidR="00BA185F" w:rsidRPr="008825D2">
        <w:rPr>
          <w:rFonts w:ascii="宋体" w:eastAsia="宋体" w:hAnsi="宋体" w:cs="Times New Roman"/>
        </w:rPr>
        <w:t>,人民币与主要货币之间汇率收益率和波动率的溢出效应进行研究,并对人民币在国际外汇市场影响力的动态变化进行了分析。结果表明,人民币在"7·21"汇改前与其他货币无同期信息溢出关系,"7·21"</w:t>
      </w:r>
      <w:proofErr w:type="gramStart"/>
      <w:r w:rsidR="00BA185F" w:rsidRPr="008825D2">
        <w:rPr>
          <w:rFonts w:ascii="宋体" w:eastAsia="宋体" w:hAnsi="宋体" w:cs="Times New Roman"/>
        </w:rPr>
        <w:t>汇改后</w:t>
      </w:r>
      <w:proofErr w:type="gramEnd"/>
      <w:r w:rsidR="00BA185F" w:rsidRPr="008825D2">
        <w:rPr>
          <w:rFonts w:ascii="宋体" w:eastAsia="宋体" w:hAnsi="宋体" w:cs="Times New Roman"/>
        </w:rPr>
        <w:t>,人民币对其他货币的同期信息溢出效应显著增强。"8·11"</w:t>
      </w:r>
      <w:proofErr w:type="gramStart"/>
      <w:r w:rsidR="00BA185F" w:rsidRPr="008825D2">
        <w:rPr>
          <w:rFonts w:ascii="宋体" w:eastAsia="宋体" w:hAnsi="宋体" w:cs="Times New Roman"/>
        </w:rPr>
        <w:t>汇改后</w:t>
      </w:r>
      <w:proofErr w:type="gramEnd"/>
      <w:r w:rsidR="00BA185F" w:rsidRPr="008825D2">
        <w:rPr>
          <w:rFonts w:ascii="宋体" w:eastAsia="宋体" w:hAnsi="宋体" w:cs="Times New Roman"/>
        </w:rPr>
        <w:t>,人民币的汇率波动也更多地受到</w:t>
      </w:r>
      <w:r w:rsidR="00BA185F" w:rsidRPr="008825D2">
        <w:rPr>
          <w:rFonts w:ascii="宋体" w:eastAsia="宋体" w:hAnsi="宋体" w:cs="Times New Roman"/>
        </w:rPr>
        <w:lastRenderedPageBreak/>
        <w:t>来自其他货币汇率变化的影响,并且其与非国际货币互动增强。</w:t>
      </w:r>
      <w:proofErr w:type="gramStart"/>
      <w:r w:rsidR="00BA185F" w:rsidRPr="008825D2">
        <w:rPr>
          <w:rFonts w:ascii="宋体" w:eastAsia="宋体" w:hAnsi="宋体" w:cs="Times New Roman"/>
        </w:rPr>
        <w:t>两次汇改之后</w:t>
      </w:r>
      <w:proofErr w:type="gramEnd"/>
      <w:r w:rsidR="00BA185F" w:rsidRPr="008825D2">
        <w:rPr>
          <w:rFonts w:ascii="宋体" w:eastAsia="宋体" w:hAnsi="宋体" w:cs="Times New Roman"/>
        </w:rPr>
        <w:t>,人民币无论在收益率,还是波动率上,其接受的信息溢出均逐渐增强;人民币对外信息溢出在"7·21"</w:t>
      </w:r>
      <w:proofErr w:type="gramStart"/>
      <w:r w:rsidR="00BA185F" w:rsidRPr="008825D2">
        <w:rPr>
          <w:rFonts w:ascii="宋体" w:eastAsia="宋体" w:hAnsi="宋体" w:cs="Times New Roman"/>
        </w:rPr>
        <w:t>汇改后</w:t>
      </w:r>
      <w:proofErr w:type="gramEnd"/>
      <w:r w:rsidR="00BA185F" w:rsidRPr="008825D2">
        <w:rPr>
          <w:rFonts w:ascii="宋体" w:eastAsia="宋体" w:hAnsi="宋体" w:cs="Times New Roman"/>
        </w:rPr>
        <w:t>并无显著增加,但随着"8·11"</w:t>
      </w:r>
      <w:proofErr w:type="gramStart"/>
      <w:r w:rsidR="00BA185F" w:rsidRPr="008825D2">
        <w:rPr>
          <w:rFonts w:ascii="宋体" w:eastAsia="宋体" w:hAnsi="宋体" w:cs="Times New Roman"/>
        </w:rPr>
        <w:t>汇改的</w:t>
      </w:r>
      <w:proofErr w:type="gramEnd"/>
      <w:r w:rsidR="00BA185F" w:rsidRPr="008825D2">
        <w:rPr>
          <w:rFonts w:ascii="宋体" w:eastAsia="宋体" w:hAnsi="宋体" w:cs="Times New Roman"/>
        </w:rPr>
        <w:t>实施,人民币汇率弹性加大,其对外信息溢出效应开始增加。总体而言,人民币两次汇率改革提高了人民币的国际影响力,但相比美元、欧元、英镑和日元等较为成熟的国际货币,人民币汇率对其他货币的同期,以及总体信息溢出程度均有限,说明人民币国际化水平仍需进一步提高。</w:t>
      </w:r>
    </w:p>
    <w:p w14:paraId="722630EA"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p>
    <w:p w14:paraId="4D0A914C"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r w:rsidR="00BA185F" w:rsidRPr="008825D2">
        <w:rPr>
          <w:rFonts w:ascii="宋体" w:eastAsia="宋体" w:hAnsi="宋体" w:cs="Times New Roman"/>
        </w:rPr>
        <w:t>【FC05】人民币国际化的策略转变：从旧“三位一体”到新“三位一体”　　张明、李曦晨（2019），《国际经济评论》，第5期，第80-98、6-7页。</w:t>
      </w:r>
    </w:p>
    <w:p w14:paraId="77F8CBA3"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r w:rsidR="00BA185F" w:rsidRPr="008825D2">
        <w:rPr>
          <w:rFonts w:ascii="宋体" w:eastAsia="宋体" w:hAnsi="宋体" w:cs="Times New Roman"/>
        </w:rPr>
        <w:t>人民币国际化在2010年至2015年期间取得持续快速进展,但在2016年至2017年期间却陷入了停滞。人民币国际化进程陷入停滞的原因,既包括人民币汇率变动、中美利差变动、资本流出管制变动、中国金融风险上升等周期性因素,也源自中国政府推进人民币国际化的旧"三位一体"策略(跨境贸易与投资的人民币结算+离岸人民币金融中心+双边本币互换)的内在缺陷。从2018年起,中国政府似乎已经开始通过新的"三位一体"策略(人民币计价的原油期货交易+加快开放国内金融市场+鼓励"一带一路"沿线的人民币使用)来推动人民币国际化。与旧策略相比,新策略更加重视培育人民币的计价货币功能、更加重视向非居民投资者提供多样化的人民币金融产品、更加重视培育人民币的海外真实需求。因此,未来的人民币国际化进程可能变得更加平稳与更可持续。</w:t>
      </w:r>
    </w:p>
    <w:p w14:paraId="371D97EA"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p>
    <w:p w14:paraId="0EEDF1B8"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r w:rsidR="00BA185F" w:rsidRPr="008825D2">
        <w:rPr>
          <w:rFonts w:ascii="宋体" w:eastAsia="宋体" w:hAnsi="宋体" w:cs="Times New Roman"/>
        </w:rPr>
        <w:t>【FC06】人民币储备需求的驱动因素——基于“一带一路”倡议的实证检验</w:t>
      </w:r>
      <w:proofErr w:type="gramStart"/>
      <w:r w:rsidR="00BA185F" w:rsidRPr="008825D2">
        <w:rPr>
          <w:rFonts w:ascii="宋体" w:eastAsia="宋体" w:hAnsi="宋体" w:cs="Times New Roman"/>
        </w:rPr>
        <w:t xml:space="preserve">　　朱孟楠</w:t>
      </w:r>
      <w:proofErr w:type="gramEnd"/>
      <w:r w:rsidR="00BA185F" w:rsidRPr="008825D2">
        <w:rPr>
          <w:rFonts w:ascii="宋体" w:eastAsia="宋体" w:hAnsi="宋体" w:cs="Times New Roman"/>
        </w:rPr>
        <w:t>、曹春玉（2019），《国际金融研究》，第6期，第37-47页。</w:t>
      </w:r>
    </w:p>
    <w:p w14:paraId="13B7AF91"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r w:rsidR="00BA185F" w:rsidRPr="008825D2">
        <w:rPr>
          <w:rFonts w:ascii="宋体" w:eastAsia="宋体" w:hAnsi="宋体" w:cs="Times New Roman"/>
        </w:rPr>
        <w:t xml:space="preserve">自2009年我国推行人民币国际化战略以来,人民币的储备货币功能不断显现。本文使用面板Logit模型实证检验发现,"一带一路"倡议前,对中国倡导的国际秩序的偏好、双边货币互换协议的签订以及美元汇率贬值构成了境外央行或货币当局人民币储备需求的主要驱动因素;自我国2013年提出"一带一路"倡议以来,对中国海外直接投资流入的依赖成为人民币储备需求的主要驱动因素,同时,境外央行或货币当局的人民币储备需求也与其资本市场开放程度有关。此外,一国经济规模、对中国进口依存度及中国经济基本面等驱动因素也得到了实证数据的部分支持。中国应适应人民币储备需求驱动因素的转变,动态调整并优化人民币国际化战略。 </w:t>
      </w:r>
    </w:p>
    <w:p w14:paraId="4081F4F2"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p>
    <w:p w14:paraId="7EFD408B"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r w:rsidR="00BA185F" w:rsidRPr="008825D2">
        <w:rPr>
          <w:rFonts w:ascii="宋体" w:eastAsia="宋体" w:hAnsi="宋体" w:cs="Times New Roman"/>
        </w:rPr>
        <w:t>【FC07】跨境贸易人民币结算中的套汇套利机制及其时变特征——基于中国香港离岸市场的研究　　王庆龙、刘力臻（2019），《国际金融研究》，第1期，第76-85页。</w:t>
      </w:r>
    </w:p>
    <w:p w14:paraId="1878EDF0"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r w:rsidR="00BA185F" w:rsidRPr="008825D2">
        <w:rPr>
          <w:rFonts w:ascii="宋体" w:eastAsia="宋体" w:hAnsi="宋体" w:cs="Times New Roman"/>
        </w:rPr>
        <w:t xml:space="preserve">本文构建跨境贸易人民币结算流量模型,分析了跨境贸易人民币结算中的套汇套利机制,采用SV-TVP-VAR模型考察了套汇套利机制的时变特征。结果表明,跨境贸易人民币结算具有一定程度的投机属性,导致跨境贸易人民币结算收付比长期受套汇行为的影响。跨境贸易人民币结算中的套汇行为存在自我收敛机制,但是当套利行为对离岸人民币汇价产生影响时,套汇行为的自我收敛机制会被破坏,离岸与在岸人民币汇价差将长期存在。本文为分析人民币离岸市场与在岸市场间汇价差的动态变化,以及两个市场间的跨境贸易人民币资金流动提供了系统性的理论分析框架,为发展基于真实需求的跨境贸易人民币结算提供了政策参考。 </w:t>
      </w:r>
    </w:p>
    <w:p w14:paraId="4ACFAAC3"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p>
    <w:p w14:paraId="427A625B"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r w:rsidR="00BA185F" w:rsidRPr="008825D2">
        <w:rPr>
          <w:rFonts w:ascii="宋体" w:eastAsia="宋体" w:hAnsi="宋体" w:cs="Times New Roman"/>
        </w:rPr>
        <w:t>【FC08】货币国际化、金融结构与币值</w:t>
      </w:r>
      <w:proofErr w:type="gramStart"/>
      <w:r w:rsidR="00BA185F" w:rsidRPr="008825D2">
        <w:rPr>
          <w:rFonts w:ascii="宋体" w:eastAsia="宋体" w:hAnsi="宋体" w:cs="Times New Roman"/>
        </w:rPr>
        <w:t xml:space="preserve">稳定　　</w:t>
      </w:r>
      <w:proofErr w:type="gramEnd"/>
      <w:r w:rsidR="00BA185F" w:rsidRPr="008825D2">
        <w:rPr>
          <w:rFonts w:ascii="宋体" w:eastAsia="宋体" w:hAnsi="宋体" w:cs="Times New Roman"/>
        </w:rPr>
        <w:t>金雪军、陈哲（2019），《国际金融研究》，第2期，第34-42页。</w:t>
      </w:r>
    </w:p>
    <w:p w14:paraId="219A5EDF"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r w:rsidR="00BA185F" w:rsidRPr="008825D2">
        <w:rPr>
          <w:rFonts w:ascii="宋体" w:eastAsia="宋体" w:hAnsi="宋体" w:cs="Times New Roman"/>
        </w:rPr>
        <w:t>本文以1980—2016年世界主要国际货币为研究对象,从对内币值和对外币值两个层面探究了货币国际化对币值稳定的影响及其机制。研究结果表明:货币国际化对于币值稳定的</w:t>
      </w:r>
      <w:r w:rsidR="00BA185F" w:rsidRPr="008825D2">
        <w:rPr>
          <w:rFonts w:ascii="宋体" w:eastAsia="宋体" w:hAnsi="宋体" w:cs="Times New Roman"/>
        </w:rPr>
        <w:lastRenderedPageBreak/>
        <w:t>影响存在阈值效应,但对于对内币值稳定与对外币值稳定的影响却存在差异;在货币国际化的过程中,银行业规模越大的国家,其币值波动也越大;相对于银行主导型金融系统,市场主导型金融系统能更好地缓和货币国际化所带来的外部冲击,从而缓和币值波动。进一步的实证研究表明,市场主导型金融系统之所以能缓和币值波动,是因为资本市场高流动性,而不是更大的规模。此外,基于上述研究结论,本文为人民币国际化提供了若干政策建议。</w:t>
      </w:r>
    </w:p>
    <w:p w14:paraId="64310CE1"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p>
    <w:p w14:paraId="30A17155"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r w:rsidR="00BA185F" w:rsidRPr="008825D2">
        <w:rPr>
          <w:rFonts w:ascii="宋体" w:eastAsia="宋体" w:hAnsi="宋体" w:cs="Times New Roman"/>
        </w:rPr>
        <w:t>【FC09】劳动力技术禀赋与人民币实际汇率决定研究　　李颖、赵皓冉（2019），《国际贸易问题》，第2期，第161-173页。</w:t>
      </w:r>
    </w:p>
    <w:p w14:paraId="3F787F89"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r w:rsidR="00BA185F" w:rsidRPr="008825D2">
        <w:rPr>
          <w:rFonts w:ascii="宋体" w:eastAsia="宋体" w:hAnsi="宋体" w:cs="Times New Roman"/>
        </w:rPr>
        <w:t>随着"刘易斯拐点"的临近和人口红利的逐渐消失,劳动力质量而非数量成为长期经济增长的驱动力,凸显了劳动力技术禀赋对经济运行和人民币实际汇率决定的重要性。本文通过引入</w:t>
      </w:r>
      <w:proofErr w:type="gramStart"/>
      <w:r w:rsidR="00BA185F" w:rsidRPr="008825D2">
        <w:rPr>
          <w:rFonts w:ascii="宋体" w:eastAsia="宋体" w:hAnsi="宋体" w:cs="Times New Roman"/>
        </w:rPr>
        <w:t>非齐序性</w:t>
      </w:r>
      <w:proofErr w:type="gramEnd"/>
      <w:r w:rsidR="00BA185F" w:rsidRPr="008825D2">
        <w:rPr>
          <w:rFonts w:ascii="宋体" w:eastAsia="宋体" w:hAnsi="宋体" w:cs="Times New Roman"/>
        </w:rPr>
        <w:t>消费效用函数,从理论上分析了劳动力技术结构通过要素禀赋机制、巴</w:t>
      </w:r>
      <w:proofErr w:type="gramStart"/>
      <w:r w:rsidR="00BA185F" w:rsidRPr="008825D2">
        <w:rPr>
          <w:rFonts w:ascii="宋体" w:eastAsia="宋体" w:hAnsi="宋体" w:cs="Times New Roman"/>
        </w:rPr>
        <w:t>萨</w:t>
      </w:r>
      <w:proofErr w:type="gramEnd"/>
      <w:r w:rsidR="00BA185F" w:rsidRPr="008825D2">
        <w:rPr>
          <w:rFonts w:ascii="宋体" w:eastAsia="宋体" w:hAnsi="宋体" w:cs="Times New Roman"/>
        </w:rPr>
        <w:t>效应机制和收入机制等三条渠道影响实际汇率,要素禀赋机制的作用方向为正,但巴</w:t>
      </w:r>
      <w:proofErr w:type="gramStart"/>
      <w:r w:rsidR="00BA185F" w:rsidRPr="008825D2">
        <w:rPr>
          <w:rFonts w:ascii="宋体" w:eastAsia="宋体" w:hAnsi="宋体" w:cs="Times New Roman"/>
        </w:rPr>
        <w:t>萨</w:t>
      </w:r>
      <w:proofErr w:type="gramEnd"/>
      <w:r w:rsidR="00BA185F" w:rsidRPr="008825D2">
        <w:rPr>
          <w:rFonts w:ascii="宋体" w:eastAsia="宋体" w:hAnsi="宋体" w:cs="Times New Roman"/>
        </w:rPr>
        <w:t xml:space="preserve">效应机制和收入机制的作用方向不确定。鉴于理论分析结论的不确定,文章进而利用我国工业行业年度面板数据,实证检验了劳动力技术结构对人民币实际有效汇率的影响效果,研究表明,劳动力技术结构对人民币实际有效汇率有正向显著的影响,稳健性检验证明了结论的一致性。 </w:t>
      </w:r>
    </w:p>
    <w:p w14:paraId="6244B21C"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p>
    <w:p w14:paraId="09613ED5"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r w:rsidR="00BA185F" w:rsidRPr="008825D2">
        <w:rPr>
          <w:rFonts w:ascii="宋体" w:eastAsia="宋体" w:hAnsi="宋体" w:cs="Times New Roman"/>
        </w:rPr>
        <w:t>【FC10】区域异质性视角下原油价格和人民币汇率的价格传递效应研究　　朱松平、叶阿忠、郑万吉（2019），《国际贸易问题》，第4期，第157-174页。</w:t>
      </w:r>
    </w:p>
    <w:p w14:paraId="32E8A211"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r w:rsidR="00BA185F" w:rsidRPr="008825D2">
        <w:rPr>
          <w:rFonts w:ascii="宋体" w:eastAsia="宋体" w:hAnsi="宋体" w:cs="Times New Roman"/>
        </w:rPr>
        <w:t>本文在结合理论分析的基础上,通过构建考虑区域差异以及国际原油价格—汇率和国内价格非线性关系的半参数全局向量自回归模型,分析人民币汇率、原油价格波动对中国</w:t>
      </w:r>
      <w:proofErr w:type="gramStart"/>
      <w:r w:rsidR="00BA185F" w:rsidRPr="008825D2">
        <w:rPr>
          <w:rFonts w:ascii="宋体" w:eastAsia="宋体" w:hAnsi="宋体" w:cs="Times New Roman"/>
        </w:rPr>
        <w:t>区域物价</w:t>
      </w:r>
      <w:proofErr w:type="gramEnd"/>
      <w:r w:rsidR="00BA185F" w:rsidRPr="008825D2">
        <w:rPr>
          <w:rFonts w:ascii="宋体" w:eastAsia="宋体" w:hAnsi="宋体" w:cs="Times New Roman"/>
        </w:rPr>
        <w:t xml:space="preserve">水平的影响,就人民币汇率波动对区域居民消费价格指数(CPI)、工业生产者出厂价格指数(PPI)的传递速率进行测算。结果表明:原油价格对人民币汇率存在非线性影响,油价下降和上涨对汇率的影响不同,且油价在不同的涨幅区间对汇率的影响也不同;汇率的价格传递速率较以往有所提升,总体层面上,汇率波动对PPI的传递速率大于CPI,区域层面上,汇率冲击对东、中部地区CPI传递的速率较西部地区大,而对中部地区的PPI传递速率高于东、西部地区;国际原油价格波动对区域CPI、PPI的影响随着自身波动加剧分别呈现"U型"和"W型"(对西部地区的PPI影响呈现"N型"),其中,西部地区CPI受原油价格波动的影响相对较小,而中部地区PPI受原油价格波动的影响最为显著。 </w:t>
      </w:r>
    </w:p>
    <w:p w14:paraId="2C1705AA"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p>
    <w:p w14:paraId="1EC62C8D"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r w:rsidR="00BA185F" w:rsidRPr="008825D2">
        <w:rPr>
          <w:rFonts w:ascii="宋体" w:eastAsia="宋体" w:hAnsi="宋体" w:cs="Times New Roman"/>
        </w:rPr>
        <w:t>【FC11】自由贸易试验区对资本流动的影响效应研究——基于准自然实验的视角　　韩瑞栋、薄凡（2019），《国际金融研究》，第7期，第36-45页。</w:t>
      </w:r>
    </w:p>
    <w:p w14:paraId="03950C95"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r w:rsidR="00BA185F" w:rsidRPr="008825D2">
        <w:rPr>
          <w:rFonts w:ascii="宋体" w:eastAsia="宋体" w:hAnsi="宋体" w:cs="Times New Roman"/>
        </w:rPr>
        <w:t>自由贸易试验区是中国新一轮对外开放的"国家试验田",深化国际投融资管理制度改革,扩大金融领域开放是自贸区建设的重要内容。本文从准自然实验角度出发,基于2004—2016年省级面板数据,采用合成控制法研究样本期内上海、天津、广东和福建自贸区设立对跨境资本流动的影响效应。研究表明,自贸区设立有效地促进了国际资本"引进来"和国内资本"走出去",国际资本双向流动效应明显;整体上,自贸区对ODI的影响效应大于FDI;具体而言,由于各自贸</w:t>
      </w:r>
      <w:proofErr w:type="gramStart"/>
      <w:r w:rsidR="00BA185F" w:rsidRPr="008825D2">
        <w:rPr>
          <w:rFonts w:ascii="宋体" w:eastAsia="宋体" w:hAnsi="宋体" w:cs="Times New Roman"/>
        </w:rPr>
        <w:t>区改革</w:t>
      </w:r>
      <w:proofErr w:type="gramEnd"/>
      <w:r w:rsidR="00BA185F" w:rsidRPr="008825D2">
        <w:rPr>
          <w:rFonts w:ascii="宋体" w:eastAsia="宋体" w:hAnsi="宋体" w:cs="Times New Roman"/>
        </w:rPr>
        <w:t xml:space="preserve">的重点领域及区域经济发展水平不同,导致各自贸区对资本流动的影响效应存在差异。因此,应从完善金融监管、分类管理对外投资、深化金融创新以及与国内市场衔接等方面推进自贸区建设,维护国际资本平稳有序流动。 </w:t>
      </w:r>
    </w:p>
    <w:p w14:paraId="549D80D0"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p>
    <w:p w14:paraId="338601E2"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r w:rsidR="00BA185F" w:rsidRPr="008825D2">
        <w:rPr>
          <w:rFonts w:ascii="宋体" w:eastAsia="宋体" w:hAnsi="宋体" w:cs="Times New Roman"/>
        </w:rPr>
        <w:t xml:space="preserve">【FC12】资本账户开放背景下中国短期资本流动的驱动因素研究——基于半参数平滑系数模型　　</w:t>
      </w:r>
      <w:proofErr w:type="gramStart"/>
      <w:r w:rsidR="00BA185F" w:rsidRPr="008825D2">
        <w:rPr>
          <w:rFonts w:ascii="宋体" w:eastAsia="宋体" w:hAnsi="宋体" w:cs="Times New Roman"/>
        </w:rPr>
        <w:t>戴淑庚</w:t>
      </w:r>
      <w:proofErr w:type="gramEnd"/>
      <w:r w:rsidR="00BA185F" w:rsidRPr="008825D2">
        <w:rPr>
          <w:rFonts w:ascii="宋体" w:eastAsia="宋体" w:hAnsi="宋体" w:cs="Times New Roman"/>
        </w:rPr>
        <w:t>、余博（2019），《国际金融研究》，第5期，第76-86页。</w:t>
      </w:r>
    </w:p>
    <w:p w14:paraId="2A7DD2AD"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r w:rsidR="00BA185F" w:rsidRPr="008825D2">
        <w:rPr>
          <w:rFonts w:ascii="宋体" w:eastAsia="宋体" w:hAnsi="宋体" w:cs="Times New Roman"/>
        </w:rPr>
        <w:t>本文在考虑资本账户管制的基础上,构建存在异质性风险偏好投资者的跨境投资模型,分析资本账户管制、套利、套汇等因素对资本流动的影响机制。之后,利用半参数平滑系数</w:t>
      </w:r>
      <w:r w:rsidR="00BA185F" w:rsidRPr="008825D2">
        <w:rPr>
          <w:rFonts w:ascii="宋体" w:eastAsia="宋体" w:hAnsi="宋体" w:cs="Times New Roman"/>
        </w:rPr>
        <w:lastRenderedPageBreak/>
        <w:t xml:space="preserve">模型实证研究资本账户开放推进过程中各驱动因素的动态影响特征。研究发现:第一,资本账户开放没有明确的导向作用,但会通过改变相关因素的影响程度对资本流动规模产生影响。第二,在资本账户快速开放以前,套汇和套利动机起主要作用;而后美联储货币政策影响大幅攀升,并成为主导因素,国际金融风险影响也有明显提升,而套利动机则日趋式微。此外,人民币汇率波动存在"套汇空间"和"套汇风险"效应,国际金融风险存在"全局效应"和"替代效应"。基于此,本文建议应渐进推动资本账户开放、保持适时、适度的资本管制,注意防范国际货币政策转向引致的金融风险,建立人民币汇率锚、做好市场预期管理。 </w:t>
      </w:r>
    </w:p>
    <w:p w14:paraId="0F05FFE5"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p>
    <w:p w14:paraId="3CED8060"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r w:rsidR="00BA185F" w:rsidRPr="008825D2">
        <w:rPr>
          <w:rFonts w:ascii="宋体" w:eastAsia="宋体" w:hAnsi="宋体" w:cs="Times New Roman"/>
        </w:rPr>
        <w:t>【FC13】关于国际资本流动管理和汇率政策的几点思考　　查尔斯·恩格尔（2019），《经济学（季刊）》，第2期，第415-440页。</w:t>
      </w:r>
    </w:p>
    <w:p w14:paraId="032C7419"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r w:rsidR="00BA185F" w:rsidRPr="008825D2">
        <w:rPr>
          <w:rFonts w:ascii="宋体" w:eastAsia="宋体" w:hAnsi="宋体" w:cs="Times New Roman"/>
        </w:rPr>
        <w:t>本文研究发现中国在早期之所以采用人民币盯住美元的汇率政策,是为了显示中国维持稳定、低通胀货币政策的决心。但是随着时间的推移,中国逐步放开汇率调整区间以修正贸易平衡。中国使用资本管制是为了增加货币政策和汇率政策的独立性。本文构建了一个简化的、对称的、两国开放经济下的新</w:t>
      </w:r>
      <w:proofErr w:type="gramStart"/>
      <w:r w:rsidR="00BA185F" w:rsidRPr="008825D2">
        <w:rPr>
          <w:rFonts w:ascii="宋体" w:eastAsia="宋体" w:hAnsi="宋体" w:cs="Times New Roman"/>
        </w:rPr>
        <w:t>凯</w:t>
      </w:r>
      <w:proofErr w:type="gramEnd"/>
      <w:r w:rsidR="00BA185F" w:rsidRPr="008825D2">
        <w:rPr>
          <w:rFonts w:ascii="宋体" w:eastAsia="宋体" w:hAnsi="宋体" w:cs="Times New Roman"/>
        </w:rPr>
        <w:t xml:space="preserve">恩斯模型,其中一国(中国)可以使用两种政策工具——总需求管理工具和贸易平衡工具,另外一个国家(美国)只有总需求管理工具,两国采用策略性非合作政策。在此模型中,中国拥有两种政策工具,因而中国比美国能够达到更高的福利水平。但是中国稳定贸易平衡对美国也是有利的。模型显示,尽管两国采用非合作性政策,但如果中国采用两种政策工具而非仅仅使用总需求管理工具,美国的福利会提高。 </w:t>
      </w:r>
    </w:p>
    <w:p w14:paraId="73D7AAC5"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p>
    <w:p w14:paraId="631E9184"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r w:rsidR="00BA185F" w:rsidRPr="008825D2">
        <w:rPr>
          <w:rFonts w:ascii="宋体" w:eastAsia="宋体" w:hAnsi="宋体" w:cs="Times New Roman"/>
        </w:rPr>
        <w:t>【FC14】国际证券资金大幅流入识别及其影响因素研究　　李苏骁、杨海珍（2019），《国际金融研究》，第2期，第23-33页。</w:t>
      </w:r>
    </w:p>
    <w:p w14:paraId="4667676E"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r w:rsidR="00BA185F" w:rsidRPr="008825D2">
        <w:rPr>
          <w:rFonts w:ascii="宋体" w:eastAsia="宋体" w:hAnsi="宋体" w:cs="Times New Roman"/>
        </w:rPr>
        <w:t xml:space="preserve">本文对20世纪90年代以来国际证券资金大幅流入事件进行识别并对其影响因素展开研究。基于54个经济体1990年第一季度至2018年第一季度的季度数据,本文首先对54个国家国际证券资金大幅流入事件进行识别。研究发现, 1994年以来国际证券资金流动共经历了四次资本大幅流入的浪潮,分别是1999—2000年、 2003—2004年、 2007年以及2009—2010年。在此基础上,本文进一步构建了涵盖推动因素、拉动因素和传染效应近20个变量的影响因素指标体系,对资本大幅流入的影响因素展开实证分析,研究表明:美国经济增速的提高会显著降低各国发生资本大幅流入事件的概率;传染效应显著存在,如果一国的邻国发生资本大幅流入事件,本国发生资本大幅流入事件的概率也会显著上升。此外,对于发展中国家来说,贸易开放度和资本账户开放程度的增加使本国经济面临更多的外部冲击,增加资本大幅流入风险的发生概率,而更加浮动化的汇率制度会减少资本大幅流入的发生。 </w:t>
      </w:r>
    </w:p>
    <w:p w14:paraId="275F6892"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p>
    <w:p w14:paraId="4F3A3024"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r w:rsidR="00BA185F" w:rsidRPr="008825D2">
        <w:rPr>
          <w:rFonts w:ascii="宋体" w:eastAsia="宋体" w:hAnsi="宋体" w:cs="Times New Roman"/>
        </w:rPr>
        <w:t>【FC15】美国国债利率对中国债市宏观基本</w:t>
      </w:r>
      <w:proofErr w:type="gramStart"/>
      <w:r w:rsidR="00BA185F" w:rsidRPr="008825D2">
        <w:rPr>
          <w:rFonts w:ascii="宋体" w:eastAsia="宋体" w:hAnsi="宋体" w:cs="Times New Roman"/>
        </w:rPr>
        <w:t>面冲击</w:t>
      </w:r>
      <w:proofErr w:type="gramEnd"/>
      <w:r w:rsidR="00BA185F" w:rsidRPr="008825D2">
        <w:rPr>
          <w:rFonts w:ascii="宋体" w:eastAsia="宋体" w:hAnsi="宋体" w:cs="Times New Roman"/>
        </w:rPr>
        <w:t>及两国利率联动时变效应研究——基于GVAR和TVP-VAR模型的实证分析　　郭栋（2019），《国际金融研究》，第4期，第55-65页。</w:t>
      </w:r>
    </w:p>
    <w:p w14:paraId="0BF3FF78"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r w:rsidR="00BA185F" w:rsidRPr="008825D2">
        <w:rPr>
          <w:rFonts w:ascii="宋体" w:eastAsia="宋体" w:hAnsi="宋体" w:cs="Times New Roman"/>
        </w:rPr>
        <w:t>美国货币政策对非美经济体的政策溢出效应是全球性的问题。本文在开放经济下两国模型理论的基础上,采用GVAR和TVP-VAR模型的研究方法,就美国国债利率变动对中国债券市场的宏观基本面(通胀和汇率)冲击效应和两国国债利率联动的时变效应进行实证研究。在研究中,选择2年期和10年期美国国债利率作为美国货币政策调控的量化指标,并对欧元区、日本进行参照比较,得出以下结论。第一,在债券市场外溢效应研究中,选择美国国债利率为变量优于美联储基金利率等其他利率,其中,10年期利率统计显著性最好。第二,中国债市传导以产业渠道为主,汇率</w:t>
      </w:r>
      <w:proofErr w:type="gramStart"/>
      <w:r w:rsidR="00BA185F" w:rsidRPr="008825D2">
        <w:rPr>
          <w:rFonts w:ascii="宋体" w:eastAsia="宋体" w:hAnsi="宋体" w:cs="Times New Roman"/>
        </w:rPr>
        <w:t>传导仍</w:t>
      </w:r>
      <w:proofErr w:type="gramEnd"/>
      <w:r w:rsidR="00BA185F" w:rsidRPr="008825D2">
        <w:rPr>
          <w:rFonts w:ascii="宋体" w:eastAsia="宋体" w:hAnsi="宋体" w:cs="Times New Roman"/>
        </w:rPr>
        <w:t>不畅通,美国货币政策紧缩,推升美国国债利率上行,将对通胀率形成正向冲击效用。第三,美国国债利率与中国国债利率联动性为正向关系,美联储加息对债券价格形成抑制作用。第四,从时变研究结果看,中国债市受美国国债的影响在逐步提</w:t>
      </w:r>
      <w:r w:rsidR="00BA185F" w:rsidRPr="008825D2">
        <w:rPr>
          <w:rFonts w:ascii="宋体" w:eastAsia="宋体" w:hAnsi="宋体" w:cs="Times New Roman"/>
        </w:rPr>
        <w:lastRenderedPageBreak/>
        <w:t>高,波动率和效应强度已经超过日本。相关政策建议如下:第一,时变特征增加了央行主动应对的难度,审慎开展公开市场操作业务,增强债市自动调节机能;第二,应加强系统性风险监控,稳定投资者情绪;第三,推动债市跨境不断发展,利率债主要发行主体应扩展境外投资人群体,提高人民币基准利率产品的国际市场地位。</w:t>
      </w:r>
    </w:p>
    <w:p w14:paraId="6FD73B5A"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p>
    <w:p w14:paraId="429132DC"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r w:rsidR="00BA185F" w:rsidRPr="008825D2">
        <w:rPr>
          <w:rFonts w:ascii="宋体" w:eastAsia="宋体" w:hAnsi="宋体" w:cs="Times New Roman"/>
        </w:rPr>
        <w:t>【FC16】国家风险如何影响双边债券类国际资产组合投资　　王伟、杨娇辉、汪玲（2019），《经济学(季刊)》，第1期，第71-98页。</w:t>
      </w:r>
    </w:p>
    <w:p w14:paraId="0C841656"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r w:rsidR="00BA185F" w:rsidRPr="008825D2">
        <w:rPr>
          <w:rFonts w:ascii="宋体" w:eastAsia="宋体" w:hAnsi="宋体" w:cs="Times New Roman"/>
        </w:rPr>
        <w:t>本文结合2001—2013年58个母国对86个东道国双边债券类FPI投资头寸数据,实证检验国家风险因素对双边债券类FPI的重要影响。研究发现:母国与东道国国家风险水平越高,双边债券类FPI</w:t>
      </w:r>
      <w:proofErr w:type="gramStart"/>
      <w:r w:rsidR="00BA185F" w:rsidRPr="008825D2">
        <w:rPr>
          <w:rFonts w:ascii="宋体" w:eastAsia="宋体" w:hAnsi="宋体" w:cs="Times New Roman"/>
        </w:rPr>
        <w:t>头寸越</w:t>
      </w:r>
      <w:proofErr w:type="gramEnd"/>
      <w:r w:rsidR="00BA185F" w:rsidRPr="008825D2">
        <w:rPr>
          <w:rFonts w:ascii="宋体" w:eastAsia="宋体" w:hAnsi="宋体" w:cs="Times New Roman"/>
        </w:rPr>
        <w:t>小;国家风险因素从集约边际与扩展边际同时影响双边债券类FPI交易;国家风险因素对长期债券类FPI的影响高于短期债券类FPI,在金融危机后的影响大于在金融危机前的影响,即国家风险对双边债券类FPI的影响是全方位、多角度且不对称的。</w:t>
      </w:r>
    </w:p>
    <w:p w14:paraId="3441FC02"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p>
    <w:p w14:paraId="6D125E07"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r w:rsidR="00BA185F" w:rsidRPr="008825D2">
        <w:rPr>
          <w:rFonts w:ascii="宋体" w:eastAsia="宋体" w:hAnsi="宋体" w:cs="Times New Roman"/>
        </w:rPr>
        <w:t xml:space="preserve">【FC17】美联储货币政策对我国资产价格的影响　　</w:t>
      </w:r>
      <w:proofErr w:type="gramStart"/>
      <w:r w:rsidR="00BA185F" w:rsidRPr="008825D2">
        <w:rPr>
          <w:rFonts w:ascii="宋体" w:eastAsia="宋体" w:hAnsi="宋体" w:cs="Times New Roman"/>
        </w:rPr>
        <w:t>姜富伟</w:t>
      </w:r>
      <w:proofErr w:type="gramEnd"/>
      <w:r w:rsidR="00BA185F" w:rsidRPr="008825D2">
        <w:rPr>
          <w:rFonts w:ascii="宋体" w:eastAsia="宋体" w:hAnsi="宋体" w:cs="Times New Roman"/>
        </w:rPr>
        <w:t>、郭鹏、郭豫媚（2019），《金融研究》，第5期，第37-55页。</w:t>
      </w:r>
    </w:p>
    <w:p w14:paraId="3D3EE46E"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r w:rsidR="00BA185F" w:rsidRPr="008825D2">
        <w:rPr>
          <w:rFonts w:ascii="宋体" w:eastAsia="宋体" w:hAnsi="宋体" w:cs="Times New Roman"/>
        </w:rPr>
        <w:t>本文利用事件研究</w:t>
      </w:r>
      <w:proofErr w:type="gramStart"/>
      <w:r w:rsidR="00BA185F" w:rsidRPr="008825D2">
        <w:rPr>
          <w:rFonts w:ascii="宋体" w:eastAsia="宋体" w:hAnsi="宋体" w:cs="Times New Roman"/>
        </w:rPr>
        <w:t>法考察</w:t>
      </w:r>
      <w:proofErr w:type="gramEnd"/>
      <w:r w:rsidR="00BA185F" w:rsidRPr="008825D2">
        <w:rPr>
          <w:rFonts w:ascii="宋体" w:eastAsia="宋体" w:hAnsi="宋体" w:cs="Times New Roman"/>
        </w:rPr>
        <w:t>了美联储货币政策对我国资产价格的影响。研究发现美联储货币政策会显著影响我国资产价格,美联储加息会降低我国债券和股票回报,降息则会提高债券和股票回报。将美联储货币政策进行细分后发现,预期到的货币政策调整对债券市场和股票市场的回报都有显著影响,而未预期到的货币政策调整和前瞻性指引只影响债券市场。进一步的研究表明,未预期到的美联储货币政策调整和前瞻性指引还会加剧我国金融市场的波动率。本文的研究结论为美联储货币政策对我国经济金融的影响提供了新的证据,对于投资者提高投资收益、降低投资风险以及货币当局完善我国货币政策调控和维护我国金融市场稳定具有重要意义。</w:t>
      </w:r>
    </w:p>
    <w:p w14:paraId="4ED3812F"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p>
    <w:p w14:paraId="5A8CF159"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r w:rsidR="00BA185F" w:rsidRPr="008825D2">
        <w:rPr>
          <w:rFonts w:ascii="宋体" w:eastAsia="宋体" w:hAnsi="宋体" w:cs="Times New Roman"/>
        </w:rPr>
        <w:t>【FC18】全球主权债务风险溢出的水平、结构与机制研究　　李政、刘淇、周莹莹、余峰燕（2019），《国际金融研究》，第10期，第42-52页。</w:t>
      </w:r>
    </w:p>
    <w:p w14:paraId="16022436"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r w:rsidR="00BA185F" w:rsidRPr="008825D2">
        <w:rPr>
          <w:rFonts w:ascii="宋体" w:eastAsia="宋体" w:hAnsi="宋体" w:cs="Times New Roman"/>
        </w:rPr>
        <w:t xml:space="preserve">本文采用TENET方法构建2009—2018年间全球主权债务风险溢出网络,在此基础上考察各国主权债务风险溢出的水平和结构特征,准确评价它们在全球主权债务风险传递网络中的地位与作用。研究发现:第一,各国的主权债务风险传递重要性不仅取决于自身风险水平,更重要的是与其他国家的关联程度。曾爆发债务危机的意大利和西班牙具有较高的主权债务风险传递重要性,大多新兴市场国家和发展中国家也排在前列,其中,中国、马来西亚和韩国较高,南非、俄罗斯等次之,美国、日本等发达国家因自身主权债务风险较小排在最后。第二,各国的主权债务风险顺着实际关联和信息渠道向其他国家溢出,随着全球经济形势的转变,主权债务风险溢出结构具有明显的时变特征,但"同区域""同组织"仍然是各国最主要的风险传导路径。第三,我国主权债务风险输入水平较低且平稳,但输出水平波动较大,近期受美联储加息、贸易摩擦升级影响,我国主权债务风险输出水平呈显著上升趋势。此外,韩国、马来西亚与中国长期保持较强的双向风险溢出关系,是中国最主要的主权债务风险传导路径。 </w:t>
      </w:r>
    </w:p>
    <w:p w14:paraId="04691C1B"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p>
    <w:p w14:paraId="01439375"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r w:rsidR="00BA185F" w:rsidRPr="008825D2">
        <w:rPr>
          <w:rFonts w:ascii="宋体" w:eastAsia="宋体" w:hAnsi="宋体" w:cs="Times New Roman"/>
        </w:rPr>
        <w:t>【FC19】中美贸易摩擦对中国系统性金融风险的影响研究　　和</w:t>
      </w:r>
      <w:proofErr w:type="gramStart"/>
      <w:r w:rsidR="00BA185F" w:rsidRPr="008825D2">
        <w:rPr>
          <w:rFonts w:ascii="宋体" w:eastAsia="宋体" w:hAnsi="宋体" w:cs="Times New Roman"/>
        </w:rPr>
        <w:t>文佳</w:t>
      </w:r>
      <w:proofErr w:type="gramEnd"/>
      <w:r w:rsidR="00BA185F" w:rsidRPr="008825D2">
        <w:rPr>
          <w:rFonts w:ascii="宋体" w:eastAsia="宋体" w:hAnsi="宋体" w:cs="Times New Roman"/>
        </w:rPr>
        <w:t>、方意、荆中博（2019），《国际金融研究》，第3期，第34-45页。</w:t>
      </w:r>
    </w:p>
    <w:p w14:paraId="04D383BB"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r w:rsidR="00BA185F" w:rsidRPr="008825D2">
        <w:rPr>
          <w:rFonts w:ascii="宋体" w:eastAsia="宋体" w:hAnsi="宋体" w:cs="Times New Roman"/>
        </w:rPr>
        <w:t>基于改进事件分析法,本文从水平值和随时间变化趋势值两个方面,量化分析中美贸易摩擦对中国银行业、证券业和保险业系统性风险影响的水平效应和趋势效应。实证分析得到如下三个结论:第一,中美贸易摩擦影响各金融行业系统性风险水平效应的显著性较弱、趋势效应的显著性较强,</w:t>
      </w:r>
      <w:proofErr w:type="gramStart"/>
      <w:r w:rsidR="00BA185F" w:rsidRPr="008825D2">
        <w:rPr>
          <w:rFonts w:ascii="宋体" w:eastAsia="宋体" w:hAnsi="宋体" w:cs="Times New Roman"/>
        </w:rPr>
        <w:t>且趋势效应较水平</w:t>
      </w:r>
      <w:proofErr w:type="gramEnd"/>
      <w:r w:rsidR="00BA185F" w:rsidRPr="008825D2">
        <w:rPr>
          <w:rFonts w:ascii="宋体" w:eastAsia="宋体" w:hAnsi="宋体" w:cs="Times New Roman"/>
        </w:rPr>
        <w:t>效应更为持久。持久的趋势效应拉升系统性风险整体</w:t>
      </w:r>
      <w:r w:rsidR="00BA185F" w:rsidRPr="008825D2">
        <w:rPr>
          <w:rFonts w:ascii="宋体" w:eastAsia="宋体" w:hAnsi="宋体" w:cs="Times New Roman"/>
        </w:rPr>
        <w:lastRenderedPageBreak/>
        <w:t>均值,在一定程度上掩盖了水平效应。第二,连续贸易摩擦冲击导致金融机构产生贸易摩擦存在惯性的预期,进而出现"贸易摩擦事件未实际发生,系统性金融风险便已上升"的现象。第三,银行业抵御外部冲击的能力最强,证券业次之,保险业最差。水平效应和趋势效应的结果可为政策制定者维护金融稳定提供参考。</w:t>
      </w:r>
    </w:p>
    <w:p w14:paraId="4297961E"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p>
    <w:p w14:paraId="3C68D44B"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r w:rsidR="00BA185F" w:rsidRPr="008825D2">
        <w:rPr>
          <w:rFonts w:ascii="宋体" w:eastAsia="宋体" w:hAnsi="宋体" w:cs="Times New Roman"/>
        </w:rPr>
        <w:t>【FC20】中美贸易摩擦对中国金融市场的溢出效应研究　　方意、和</w:t>
      </w:r>
      <w:proofErr w:type="gramStart"/>
      <w:r w:rsidR="00BA185F" w:rsidRPr="008825D2">
        <w:rPr>
          <w:rFonts w:ascii="宋体" w:eastAsia="宋体" w:hAnsi="宋体" w:cs="Times New Roman"/>
        </w:rPr>
        <w:t>文佳</w:t>
      </w:r>
      <w:proofErr w:type="gramEnd"/>
      <w:r w:rsidR="00BA185F" w:rsidRPr="008825D2">
        <w:rPr>
          <w:rFonts w:ascii="宋体" w:eastAsia="宋体" w:hAnsi="宋体" w:cs="Times New Roman"/>
        </w:rPr>
        <w:t>、荆中博（2019），《财贸经济》，第6期，第55-69页。</w:t>
      </w:r>
    </w:p>
    <w:p w14:paraId="6804162B"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r w:rsidR="00BA185F" w:rsidRPr="008825D2">
        <w:rPr>
          <w:rFonts w:ascii="宋体" w:eastAsia="宋体" w:hAnsi="宋体" w:cs="Times New Roman"/>
        </w:rPr>
        <w:t>本文采用事件分析法量化分析中美贸易摩擦对中国股票市场、债券市场和外汇市场</w:t>
      </w:r>
      <w:proofErr w:type="gramStart"/>
      <w:r w:rsidR="00BA185F" w:rsidRPr="008825D2">
        <w:rPr>
          <w:rFonts w:ascii="宋体" w:eastAsia="宋体" w:hAnsi="宋体" w:cs="Times New Roman"/>
        </w:rPr>
        <w:t>风险及跨市场</w:t>
      </w:r>
      <w:proofErr w:type="gramEnd"/>
      <w:r w:rsidR="00BA185F" w:rsidRPr="008825D2">
        <w:rPr>
          <w:rFonts w:ascii="宋体" w:eastAsia="宋体" w:hAnsi="宋体" w:cs="Times New Roman"/>
        </w:rPr>
        <w:t>之间风险传染的溢出效应。实证结果发现:第一,贸易摩擦在短期会造成中国各金融市场自身风险的上升。从统计显著性、经济显著性和影响持久度来看,不同市场具有不同的反应特征,且各市场之间存在"市场轮动"现象。第二,贸易摩擦对跨市场风险传染有显著且持久的溢出效应,共同风险敞口及投资者资产配置调整是该溢出效应产生的主要原因,且溢出效应方向的差异体现了资金向安全资产转移的特点。第三,按照贸易摩擦对股、债、汇三个金融市场产生显著溢出效应的先后顺序及溢出峰值由小到大的排序,可将中国金融市场划分为三个风险区,并依</w:t>
      </w:r>
      <w:proofErr w:type="gramStart"/>
      <w:r w:rsidR="00BA185F" w:rsidRPr="008825D2">
        <w:rPr>
          <w:rFonts w:ascii="宋体" w:eastAsia="宋体" w:hAnsi="宋体" w:cs="Times New Roman"/>
        </w:rPr>
        <w:t>此维护</w:t>
      </w:r>
      <w:proofErr w:type="gramEnd"/>
      <w:r w:rsidR="00BA185F" w:rsidRPr="008825D2">
        <w:rPr>
          <w:rFonts w:ascii="宋体" w:eastAsia="宋体" w:hAnsi="宋体" w:cs="Times New Roman"/>
        </w:rPr>
        <w:t xml:space="preserve">金融稳定。 </w:t>
      </w:r>
    </w:p>
    <w:p w14:paraId="6EFF2EF2"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p>
    <w:p w14:paraId="2768BC7C"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r w:rsidR="00BA185F" w:rsidRPr="008825D2">
        <w:rPr>
          <w:rFonts w:ascii="宋体" w:eastAsia="宋体" w:hAnsi="宋体" w:cs="Times New Roman"/>
        </w:rPr>
        <w:t>【FC21】中国对外开放下的金融分权——基于我国省级面板数据的实证研究　　李振新、陈享光（2019），《国际金融研究》，第10期，第9-18页。</w:t>
      </w:r>
    </w:p>
    <w:p w14:paraId="602FB3FE"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r w:rsidR="00BA185F" w:rsidRPr="008825D2">
        <w:rPr>
          <w:rFonts w:ascii="宋体" w:eastAsia="宋体" w:hAnsi="宋体" w:cs="Times New Roman"/>
        </w:rPr>
        <w:t>本文尝试将</w:t>
      </w:r>
      <w:proofErr w:type="gramStart"/>
      <w:r w:rsidR="00BA185F" w:rsidRPr="008825D2">
        <w:rPr>
          <w:rFonts w:ascii="宋体" w:eastAsia="宋体" w:hAnsi="宋体" w:cs="Times New Roman"/>
        </w:rPr>
        <w:t>境外部门</w:t>
      </w:r>
      <w:proofErr w:type="gramEnd"/>
      <w:r w:rsidR="00BA185F" w:rsidRPr="008825D2">
        <w:rPr>
          <w:rFonts w:ascii="宋体" w:eastAsia="宋体" w:hAnsi="宋体" w:cs="Times New Roman"/>
        </w:rPr>
        <w:t xml:space="preserve">纳入中央政府和地方政府的动态博弈模型中,考察境外金融资本和外资企业影响金融分权的理论机制。结合2005—2016年中国省级面板数据,利用GMM模型和空间计量模型实证检验了境外金融资本和外资企业对我国金融分权的影响。研究结果表明,境外金融资本规模的增大明显地提高了我国金融分权水平;外资企业的进入对我国内资企业产生明显的挤出效应,强化了地方政府干预金融资源分配的动机,最终推动我国金融分权化的发展。因此,我国应当对金融业坚持开放而又审慎的原则,同时,加强内资企业的自主创新,强化金融可得性建设,逐渐减少对外资的依赖,规避外资对宏观经济稳定和金融发展造成的不良影响。 </w:t>
      </w:r>
    </w:p>
    <w:p w14:paraId="4F323423"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p>
    <w:p w14:paraId="5F1CA9BC"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r w:rsidR="00BA185F" w:rsidRPr="008825D2">
        <w:rPr>
          <w:rFonts w:ascii="宋体" w:eastAsia="宋体" w:hAnsi="宋体" w:cs="Times New Roman"/>
        </w:rPr>
        <w:t>【FC22】房地产抵押、汇率冲击与资本账户开放——一个开放经济条件下的DSGE分析框架　　徐雅婷、刘一楠（2019），《国际贸易问题》，第5期，第144-161页。</w:t>
      </w:r>
    </w:p>
    <w:p w14:paraId="1644DE33"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r w:rsidR="00BA185F" w:rsidRPr="008825D2">
        <w:rPr>
          <w:rFonts w:ascii="宋体" w:eastAsia="宋体" w:hAnsi="宋体" w:cs="Times New Roman"/>
        </w:rPr>
        <w:t>随着住房市场化改革与</w:t>
      </w:r>
      <w:proofErr w:type="gramStart"/>
      <w:r w:rsidR="00BA185F" w:rsidRPr="008825D2">
        <w:rPr>
          <w:rFonts w:ascii="宋体" w:eastAsia="宋体" w:hAnsi="宋体" w:cs="Times New Roman"/>
        </w:rPr>
        <w:t>人民币汇改的</w:t>
      </w:r>
      <w:proofErr w:type="gramEnd"/>
      <w:r w:rsidR="00BA185F" w:rsidRPr="008825D2">
        <w:rPr>
          <w:rFonts w:ascii="宋体" w:eastAsia="宋体" w:hAnsi="宋体" w:cs="Times New Roman"/>
        </w:rPr>
        <w:t>推行,加之我国资本项目的逐步开放,房地产价格与汇率表现出更为复杂的内在联系。本文构建一个包含房地产抵押海外信贷约束的开放经济DSGE模型,证明房地产信贷抵押与汇率之间存在相互促进的加速循环关系;基于开放经济的动态视角,进一步刻画了不同汇率制度与不同开放程度下,房地产价格与汇率之间动态演变的内在机制;对外开放程度或汇率浮动范围变大,贬值冲击会带来更大幅度的资产价格与产出下降,甚至可能出现"房地产价格下跌—汇率下降"相互促进触发的明斯</w:t>
      </w:r>
      <w:proofErr w:type="gramStart"/>
      <w:r w:rsidR="00BA185F" w:rsidRPr="008825D2">
        <w:rPr>
          <w:rFonts w:ascii="宋体" w:eastAsia="宋体" w:hAnsi="宋体" w:cs="Times New Roman"/>
        </w:rPr>
        <w:t>基时刻</w:t>
      </w:r>
      <w:proofErr w:type="gramEnd"/>
      <w:r w:rsidR="00BA185F" w:rsidRPr="008825D2">
        <w:rPr>
          <w:rFonts w:ascii="宋体" w:eastAsia="宋体" w:hAnsi="宋体" w:cs="Times New Roman"/>
        </w:rPr>
        <w:t>与金融危机。理解房地产价格与汇率之间的关系,对于开放经济下的金融稳定具有重要意义。因此,维持国内房地产市场健康发展、宏观审慎地推进资本项目开放、避免汇率大幅波动是开放经济下我国经济稳健运行的重要保障。</w:t>
      </w:r>
    </w:p>
    <w:p w14:paraId="46E14AF1"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p>
    <w:p w14:paraId="5789AA03"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r w:rsidR="00BA185F" w:rsidRPr="008825D2">
        <w:rPr>
          <w:rFonts w:ascii="宋体" w:eastAsia="宋体" w:hAnsi="宋体" w:cs="Times New Roman"/>
        </w:rPr>
        <w:t>【FC23】“一带一路”：建立以多边机制为基础的国际金融新</w:t>
      </w:r>
      <w:proofErr w:type="gramStart"/>
      <w:r w:rsidR="00BA185F" w:rsidRPr="008825D2">
        <w:rPr>
          <w:rFonts w:ascii="宋体" w:eastAsia="宋体" w:hAnsi="宋体" w:cs="Times New Roman"/>
        </w:rPr>
        <w:t xml:space="preserve">规则　　</w:t>
      </w:r>
      <w:proofErr w:type="gramEnd"/>
      <w:r w:rsidR="00BA185F" w:rsidRPr="008825D2">
        <w:rPr>
          <w:rFonts w:ascii="宋体" w:eastAsia="宋体" w:hAnsi="宋体" w:cs="Times New Roman"/>
        </w:rPr>
        <w:t>王国刚（2019），《国际金融研究》，第1期，第38-45页。</w:t>
      </w:r>
    </w:p>
    <w:p w14:paraId="7E9610B4"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r w:rsidR="00BA185F" w:rsidRPr="008825D2">
        <w:rPr>
          <w:rFonts w:ascii="宋体" w:eastAsia="宋体" w:hAnsi="宋体" w:cs="Times New Roman"/>
        </w:rPr>
        <w:t>二百多年来,国际金融规则的发展大致经历了三个阶段:一是单边主义界定国际金融规则的时期;二是由美国单边主义操控下的多边主义</w:t>
      </w:r>
      <w:proofErr w:type="gramStart"/>
      <w:r w:rsidR="00BA185F" w:rsidRPr="008825D2">
        <w:rPr>
          <w:rFonts w:ascii="宋体" w:eastAsia="宋体" w:hAnsi="宋体" w:cs="Times New Roman"/>
        </w:rPr>
        <w:t>由盛走弱</w:t>
      </w:r>
      <w:proofErr w:type="gramEnd"/>
      <w:r w:rsidR="00BA185F" w:rsidRPr="008825D2">
        <w:rPr>
          <w:rFonts w:ascii="宋体" w:eastAsia="宋体" w:hAnsi="宋体" w:cs="Times New Roman"/>
        </w:rPr>
        <w:t>的时期;三是经济多极化背景下多边机制界定国际金融规则的时期。国际金融规则的形成过程中有三个特点:一是单边规则</w:t>
      </w:r>
      <w:r w:rsidR="00BA185F" w:rsidRPr="008825D2">
        <w:rPr>
          <w:rFonts w:ascii="宋体" w:eastAsia="宋体" w:hAnsi="宋体" w:cs="Times New Roman"/>
        </w:rPr>
        <w:lastRenderedPageBreak/>
        <w:t>向多边规则转变;二是"赢者通吃"让位于"合作共赢";三是多边主义向国际金融市场实操领域的延伸尚待破题。中国的方案是构建人类命运共同体,实现合作共赢。"一带一路"倡议,在落实和平合作、开放包容、互学互鉴、互利共赢和多边主义等五个理念的同时,贯彻着共商共建共享、强化战略对接、注重实践效应、推进互联互通、克服融资瓶颈和强化创新驱动等六个机制。落实"一带一路"倡议,在金融实践层面上需要有效解决巨额资金、资金性质和政治风险等三个难题,因此,应发挥多元化资本结构的机制作用。多元化资本结构可在金融经营机构、金融产品、金融交易场所和多边经济区等四个层面展开,在实践中需要特别关注股权平等、股权融资中的协同运作和股权运作中的长期性等三个方面。</w:t>
      </w:r>
    </w:p>
    <w:p w14:paraId="6CC4E0C0"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p>
    <w:p w14:paraId="43B9EB4A"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r w:rsidR="00BA185F" w:rsidRPr="008825D2">
        <w:rPr>
          <w:rFonts w:ascii="宋体" w:eastAsia="宋体" w:hAnsi="宋体" w:cs="Times New Roman"/>
        </w:rPr>
        <w:t>【FC24】国际金融体系的演变研究　　肖远企（2019），《国际金融研究》，第4期，第3-13页。</w:t>
      </w:r>
    </w:p>
    <w:p w14:paraId="14E96AF4"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r w:rsidR="00BA185F" w:rsidRPr="008825D2">
        <w:rPr>
          <w:rFonts w:ascii="宋体" w:eastAsia="宋体" w:hAnsi="宋体" w:cs="Times New Roman"/>
        </w:rPr>
        <w:t>2008年国际金融危机显示了金融风险累积、爆发和传导机制的新特征,表明国际金融体系正在变化。完善国际金融体系是治理金融风险的前提。本文在归纳国际金融体系演变及其规律的基础上,提出当代国际金融体系应当关注美元地位不稳、金融集中化、金融活跃和风险并行等方面;并重点分析了储备货币安排、宏观政策管理、金融市场风险等方面的前景。最后,对完善国际金融治理体系,特别是新兴经济体积极发挥作用提出了展望。</w:t>
      </w:r>
    </w:p>
    <w:p w14:paraId="55D30770"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p>
    <w:p w14:paraId="3DC44CE9"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r w:rsidR="00BA185F" w:rsidRPr="008825D2">
        <w:rPr>
          <w:rFonts w:ascii="宋体" w:eastAsia="宋体" w:hAnsi="宋体" w:cs="Times New Roman"/>
        </w:rPr>
        <w:t>【FC25】</w:t>
      </w:r>
      <w:proofErr w:type="gramStart"/>
      <w:r w:rsidR="00BA185F" w:rsidRPr="008825D2">
        <w:rPr>
          <w:rFonts w:ascii="宋体" w:eastAsia="宋体" w:hAnsi="宋体" w:cs="Times New Roman"/>
        </w:rPr>
        <w:t>后危机</w:t>
      </w:r>
      <w:proofErr w:type="gramEnd"/>
      <w:r w:rsidR="00BA185F" w:rsidRPr="008825D2">
        <w:rPr>
          <w:rFonts w:ascii="宋体" w:eastAsia="宋体" w:hAnsi="宋体" w:cs="Times New Roman"/>
        </w:rPr>
        <w:t>时期全球银行业变革趋势与竞争格局　　王胜邦、邓鑫（2019），《国际金融研究》，第8期，第66-75页。</w:t>
      </w:r>
    </w:p>
    <w:p w14:paraId="71A7DB59"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r w:rsidR="00BA185F" w:rsidRPr="008825D2">
        <w:rPr>
          <w:rFonts w:ascii="宋体" w:eastAsia="宋体" w:hAnsi="宋体" w:cs="Times New Roman"/>
        </w:rPr>
        <w:t>自2008年全球金融危机十多年以来,在市场环境和监管改革双重压力下,全球银行业告别了危机前以少量资本和过度期限错配支撑高速增长,并博取高额利润的发展路径,进入了高资本、低错配、低增长、低盈利的发展新阶段。银行业稳健性明显增强,业务模式回归传统,行业集中度进一步提高。全球银行业竞争格局逐渐演变成中美主导</w:t>
      </w:r>
      <w:proofErr w:type="gramStart"/>
      <w:r w:rsidR="00BA185F" w:rsidRPr="008825D2">
        <w:rPr>
          <w:rFonts w:ascii="宋体" w:eastAsia="宋体" w:hAnsi="宋体" w:cs="Times New Roman"/>
        </w:rPr>
        <w:t>与日欧协同</w:t>
      </w:r>
      <w:proofErr w:type="gramEnd"/>
      <w:r w:rsidR="00BA185F" w:rsidRPr="008825D2">
        <w:rPr>
          <w:rFonts w:ascii="宋体" w:eastAsia="宋体" w:hAnsi="宋体" w:cs="Times New Roman"/>
        </w:rPr>
        <w:t xml:space="preserve">的新态势。这些变革很大程度上符合金融监管改革的预期目标,但在一些领域也超出了改革初衷。金融监管部门必须高度关注这些变革对银行业,乃至更广泛的金融体系稳健性和经济增长的潜在影响。 </w:t>
      </w:r>
    </w:p>
    <w:p w14:paraId="2B6222CE"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p>
    <w:p w14:paraId="55E35D29"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r w:rsidR="00BA185F" w:rsidRPr="008825D2">
        <w:rPr>
          <w:rFonts w:ascii="宋体" w:eastAsia="宋体" w:hAnsi="宋体" w:cs="Times New Roman"/>
        </w:rPr>
        <w:t>【FC26】金融周期、美联储加息与金融危机　　李雪松、罗朝阳（2019），《财贸经济》，第10期，第66-80页。</w:t>
      </w:r>
    </w:p>
    <w:p w14:paraId="2B0451CC"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r w:rsidR="00BA185F" w:rsidRPr="008825D2">
        <w:rPr>
          <w:rFonts w:ascii="宋体" w:eastAsia="宋体" w:hAnsi="宋体" w:cs="Times New Roman"/>
        </w:rPr>
        <w:t>本文将金融周期和美联储加息置于影响金融危机的统一框架中,研究这两种因素对金融危机的影响机制,并基于全球154个经济体1970—2017年的跨国面板数据,采用面板Logit模型系统考察其对银行危机、债务危机及货币危机的影响。结果表明,金融周期顶部和下降期容易爆发各类金融危机,美联储加息阶段各类金融危机发生概率显著增加。因此,在金融周期上升阶段要避免过度加杠杆,在金融周期顶部区域要采取结构性去杠杆策略,防范金融周期大起大落的波动风险;要保持合理的外债增长率、期限结构和适度的外汇储备水平,适时动态监管资本流动,</w:t>
      </w:r>
      <w:proofErr w:type="gramStart"/>
      <w:r w:rsidR="00BA185F" w:rsidRPr="008825D2">
        <w:rPr>
          <w:rFonts w:ascii="宋体" w:eastAsia="宋体" w:hAnsi="宋体" w:cs="Times New Roman"/>
        </w:rPr>
        <w:t>防范美</w:t>
      </w:r>
      <w:proofErr w:type="gramEnd"/>
      <w:r w:rsidR="00BA185F" w:rsidRPr="008825D2">
        <w:rPr>
          <w:rFonts w:ascii="宋体" w:eastAsia="宋体" w:hAnsi="宋体" w:cs="Times New Roman"/>
        </w:rPr>
        <w:t>联储加息冲击引发的金融风险。</w:t>
      </w:r>
    </w:p>
    <w:p w14:paraId="5990CD17"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p>
    <w:p w14:paraId="093DDA46"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r w:rsidR="00BA185F" w:rsidRPr="008825D2">
        <w:rPr>
          <w:rFonts w:ascii="宋体" w:eastAsia="宋体" w:hAnsi="宋体" w:cs="Times New Roman"/>
        </w:rPr>
        <w:t>【FC27】认知能力、风险偏好与离岸金融发展——基于跨国面板数据的联立方程模型　　王勇、苗雨萌、张佐敏（2019），《国际金融研究》，第7期，第46-55页。</w:t>
      </w:r>
    </w:p>
    <w:p w14:paraId="7B50F3B0"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r w:rsidR="00BA185F" w:rsidRPr="008825D2">
        <w:rPr>
          <w:rFonts w:ascii="宋体" w:eastAsia="宋体" w:hAnsi="宋体" w:cs="Times New Roman"/>
        </w:rPr>
        <w:t>本文利用44个国家和地区2001—2015年面板数据构建联立方程模型,采用三阶段最小二乘法对认知能力差异、风险偏好水平与离岸金融发展的关系进行经验检验,研究发现:离岸金融市场中,风险偏好作为非正式制度影响了正式制度的制定和实施;较高的风险偏好水平能够提升离岸金融监管部门的政府效能、增加离岸金融市场的参与度,从而促进离岸金融发展;认知水平与当地风险偏好水平显著相关,证实了离岸金融中心存在"聪明管理者"和"聪明</w:t>
      </w:r>
      <w:r w:rsidR="00BA185F" w:rsidRPr="008825D2">
        <w:rPr>
          <w:rFonts w:ascii="宋体" w:eastAsia="宋体" w:hAnsi="宋体" w:cs="Times New Roman"/>
        </w:rPr>
        <w:lastRenderedPageBreak/>
        <w:t>投资者"现象。本研究为理解风险偏好影响离岸金融发展的传导路径提供了制度金融学解释,也为金融双向开放背景下提高认知能力、管理风险偏好,从而促进离岸金融发展提供了经验证据。</w:t>
      </w:r>
    </w:p>
    <w:p w14:paraId="789E1234"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p>
    <w:p w14:paraId="2ACE65E3"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r w:rsidR="00BA185F" w:rsidRPr="008825D2">
        <w:rPr>
          <w:rFonts w:ascii="宋体" w:eastAsia="宋体" w:hAnsi="宋体" w:cs="Times New Roman"/>
        </w:rPr>
        <w:t>【FC28】我国外汇储备的溢出效应研究——基于引力模型的分析　　唐爱迪、陆毅、杜清源（2019），《金融研究》，第4期，第1-19页。</w:t>
      </w:r>
    </w:p>
    <w:p w14:paraId="7A531933"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r w:rsidR="00BA185F" w:rsidRPr="008825D2">
        <w:rPr>
          <w:rFonts w:ascii="宋体" w:eastAsia="宋体" w:hAnsi="宋体" w:cs="Times New Roman"/>
        </w:rPr>
        <w:t>本文采用2000-2015年199个国家和地区的外汇储备面板数据,基于引力模型理论,考察了我国高额外汇储备的溢出效应及对全球资产配置的影响。研究发现:我国外汇储备具有随地</w:t>
      </w:r>
      <w:proofErr w:type="gramStart"/>
      <w:r w:rsidR="00BA185F" w:rsidRPr="008825D2">
        <w:rPr>
          <w:rFonts w:ascii="宋体" w:eastAsia="宋体" w:hAnsi="宋体" w:cs="Times New Roman"/>
        </w:rPr>
        <w:t>理距离</w:t>
      </w:r>
      <w:proofErr w:type="gramEnd"/>
      <w:r w:rsidR="00BA185F" w:rsidRPr="008825D2">
        <w:rPr>
          <w:rFonts w:ascii="宋体" w:eastAsia="宋体" w:hAnsi="宋体" w:cs="Times New Roman"/>
        </w:rPr>
        <w:t>递减的空间外溢效应,双边汇率制度关联会增加外汇储备持有比例的相似程度,而且这种溢出效应更多地表现在与中国金融发展水平类似、资本账户开放程度相近的国家之间。上述结论凸显了国家间加强外汇储备合作调整的战略意义。探究我国外汇储备的溢出效应,有利于发展中经济体更好地理解外汇储备的变动逻辑,对于完善外汇储备管理体制,参与国际宏观经济政策协调机制均具有一定的积极意义。</w:t>
      </w:r>
    </w:p>
    <w:p w14:paraId="1291DCDC"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p>
    <w:p w14:paraId="2AE8100F"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r w:rsidR="00BA185F" w:rsidRPr="008825D2">
        <w:rPr>
          <w:rFonts w:ascii="宋体" w:eastAsia="宋体" w:hAnsi="宋体" w:cs="Times New Roman"/>
        </w:rPr>
        <w:t>【FC29】美国货币政策推升了新兴市场国家非金融企业</w:t>
      </w:r>
      <w:proofErr w:type="gramStart"/>
      <w:r w:rsidR="00BA185F" w:rsidRPr="008825D2">
        <w:rPr>
          <w:rFonts w:ascii="宋体" w:eastAsia="宋体" w:hAnsi="宋体" w:cs="Times New Roman"/>
        </w:rPr>
        <w:t>杠杆率吗</w:t>
      </w:r>
      <w:proofErr w:type="gramEnd"/>
      <w:r w:rsidR="00BA185F" w:rsidRPr="008825D2">
        <w:rPr>
          <w:rFonts w:ascii="宋体" w:eastAsia="宋体" w:hAnsi="宋体" w:cs="Times New Roman"/>
        </w:rPr>
        <w:t>?　　谭小芬、李源、苟琴（2019），《金融研究》，第8期，第38-57页。</w:t>
      </w:r>
    </w:p>
    <w:p w14:paraId="799FA199"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r w:rsidR="00BA185F" w:rsidRPr="008825D2">
        <w:rPr>
          <w:rFonts w:ascii="宋体" w:eastAsia="宋体" w:hAnsi="宋体" w:cs="Times New Roman"/>
        </w:rPr>
        <w:t>全球金融危机后,美国量化宽松货币政策的实施导致全球流动性异常充裕,对新兴市场国家非金融企业外部融资环境造成显著影响。本文运用28个新兴市场国家2003-2015年非金融类上市企业财务数据和美国影子利率数据对美国货币政策调整与新兴市场国家非金融企业杠杆率变动之间的关系进行了实证分析。结果显示,美国影子利率与新兴市场国家非金融企业杠杆率变动之间存在显著负相关关系,即美国影子利率的降低会促使新兴市场国家非金融企业杠杆率出现更大幅度的上涨。进一步地,这一影响在融资约束程度较高的企业、外部融资依赖度较高的行业以及资本账户开放程度较高但汇率弹性僵化的国家表现得更为显著。上述发现意味着新兴市场国家在调控企业部门杠杆率的过程中,除要考虑国内因素外,也应高度重视美国货币政策的变化。</w:t>
      </w:r>
    </w:p>
    <w:p w14:paraId="2B9DF2AD"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p>
    <w:p w14:paraId="3E4AEB73"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r w:rsidR="00BA185F" w:rsidRPr="008825D2">
        <w:rPr>
          <w:rFonts w:ascii="宋体" w:eastAsia="宋体" w:hAnsi="宋体" w:cs="Times New Roman"/>
        </w:rPr>
        <w:t>【FC30】贸易自由化对制造业企业现金储蓄的影响——预防性动机还是投资挤压？　　张国峰、王永进、李坤望（2019），《金融研究》，第9期，第19-38页。</w:t>
      </w:r>
    </w:p>
    <w:p w14:paraId="28E4F3D5" w14:textId="77777777" w:rsidR="008825D2" w:rsidRPr="008825D2" w:rsidRDefault="008825D2" w:rsidP="00BA185F">
      <w:pPr>
        <w:rPr>
          <w:rFonts w:ascii="宋体" w:eastAsia="宋体" w:hAnsi="宋体" w:cs="Times New Roman"/>
        </w:rPr>
      </w:pPr>
      <w:r w:rsidRPr="008825D2">
        <w:rPr>
          <w:rFonts w:ascii="宋体" w:eastAsia="宋体" w:hAnsi="宋体" w:cs="Times New Roman"/>
        </w:rPr>
        <w:t xml:space="preserve">　　</w:t>
      </w:r>
      <w:r w:rsidR="00BA185F" w:rsidRPr="008825D2">
        <w:rPr>
          <w:rFonts w:ascii="宋体" w:eastAsia="宋体" w:hAnsi="宋体" w:cs="Times New Roman"/>
        </w:rPr>
        <w:t xml:space="preserve">随着加入世界贸易组织,中国企业的出口及投资机会增多,但与此同时面临的进口竞争压力也与日俱增。本文基于1998-2007年中国工业企业数据和行业进口关税数据,以中国2001年加入世界贸易组织为准自然实验,采用双重差分法(DID)模型,首次系统地考察了贸易自由化对制造业企业现金储蓄的影响及作用机制。研究发现:(1)中国贸易自由化不仅没有提高国内制造业企业的现金储蓄率,反而通过投资挤压显著降低了企业的现金储蓄率,这与发达国家的相关研究结果大相径庭。(2)贸易自由化对企业现金储蓄的作用依赖于市场竞争程度,即关税减让会显著降低竞争性行业以及高集聚区域内企业的现金储蓄率。(3)高关税行业的关税降低后,进口竞争会侵蚀纯内销企业的投资机会,尤其是小规模企业,进而降低其现金储蓄。经过一系列检验后,结论依然成立。 </w:t>
      </w:r>
    </w:p>
    <w:p w14:paraId="79DE865B"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p>
    <w:p w14:paraId="577122B3"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r w:rsidR="00BA185F" w:rsidRPr="008825D2">
        <w:rPr>
          <w:rFonts w:ascii="Times New Roman" w:hAnsi="Times New Roman" w:cs="Times New Roman"/>
        </w:rPr>
        <w:t>（二）国际金融学</w:t>
      </w:r>
      <w:r w:rsidR="00BA185F" w:rsidRPr="008825D2">
        <w:rPr>
          <w:rFonts w:ascii="Times New Roman" w:hAnsi="Times New Roman" w:cs="Times New Roman"/>
        </w:rPr>
        <w:t>2019</w:t>
      </w:r>
      <w:r w:rsidR="00BA185F" w:rsidRPr="008825D2">
        <w:rPr>
          <w:rFonts w:ascii="Times New Roman" w:hAnsi="Times New Roman" w:cs="Times New Roman"/>
        </w:rPr>
        <w:t>年最佳英文论文</w:t>
      </w:r>
      <w:r w:rsidR="00BA185F" w:rsidRPr="008825D2">
        <w:rPr>
          <w:rFonts w:ascii="Times New Roman" w:hAnsi="Times New Roman" w:cs="Times New Roman"/>
        </w:rPr>
        <w:t>TOP10</w:t>
      </w:r>
      <w:r w:rsidR="00BA185F" w:rsidRPr="008825D2">
        <w:rPr>
          <w:rFonts w:ascii="Times New Roman" w:hAnsi="Times New Roman" w:cs="Times New Roman"/>
        </w:rPr>
        <w:t>候选论文</w:t>
      </w:r>
    </w:p>
    <w:p w14:paraId="2C5FA198"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r w:rsidR="00BA185F" w:rsidRPr="008825D2">
        <w:rPr>
          <w:rFonts w:ascii="Times New Roman" w:hAnsi="Times New Roman" w:cs="Times New Roman"/>
        </w:rPr>
        <w:t>【</w:t>
      </w:r>
      <w:r w:rsidR="00BA185F" w:rsidRPr="008825D2">
        <w:rPr>
          <w:rFonts w:ascii="Times New Roman" w:hAnsi="Times New Roman" w:cs="Times New Roman"/>
        </w:rPr>
        <w:t>FE01</w:t>
      </w:r>
      <w:r w:rsidR="00BA185F" w:rsidRPr="008825D2">
        <w:rPr>
          <w:rFonts w:ascii="Times New Roman" w:hAnsi="Times New Roman" w:cs="Times New Roman"/>
        </w:rPr>
        <w:t>】</w:t>
      </w:r>
      <w:r w:rsidR="00BA185F" w:rsidRPr="008825D2">
        <w:rPr>
          <w:rFonts w:ascii="Times New Roman" w:hAnsi="Times New Roman" w:cs="Times New Roman"/>
        </w:rPr>
        <w:t xml:space="preserve">Exchange Arrangements Entering the Twenty-First Century: Which Anchor will Hold? </w:t>
      </w:r>
      <w:r w:rsidR="00BA185F" w:rsidRPr="008825D2">
        <w:rPr>
          <w:rFonts w:ascii="Times New Roman" w:hAnsi="Times New Roman" w:cs="Times New Roman"/>
        </w:rPr>
        <w:t xml:space="preserve">　　</w:t>
      </w:r>
      <w:proofErr w:type="spellStart"/>
      <w:r w:rsidR="00BA185F" w:rsidRPr="008825D2">
        <w:rPr>
          <w:rFonts w:ascii="Times New Roman" w:hAnsi="Times New Roman" w:cs="Times New Roman"/>
        </w:rPr>
        <w:t>Ilzetzki</w:t>
      </w:r>
      <w:proofErr w:type="spellEnd"/>
      <w:r w:rsidR="00BA185F" w:rsidRPr="008825D2">
        <w:rPr>
          <w:rFonts w:ascii="Times New Roman" w:hAnsi="Times New Roman" w:cs="Times New Roman"/>
        </w:rPr>
        <w:t>, E., Reinhart, C. &amp; Rogoff, K. (2019). The Quarterly Journal of Economics, 134(2), 599–646.</w:t>
      </w:r>
    </w:p>
    <w:p w14:paraId="4E1380B6"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r w:rsidR="00BA185F" w:rsidRPr="008825D2">
        <w:rPr>
          <w:rFonts w:ascii="Times New Roman" w:hAnsi="Times New Roman" w:cs="Times New Roman"/>
        </w:rPr>
        <w:t xml:space="preserve">This article provides a comprehensive history of anchor or reference currencies, exchange rate arrangements, and a new measure of foreign exchange restrictions for 194 countries and territories </w:t>
      </w:r>
      <w:r w:rsidR="00BA185F" w:rsidRPr="008825D2">
        <w:rPr>
          <w:rFonts w:ascii="Times New Roman" w:hAnsi="Times New Roman" w:cs="Times New Roman"/>
        </w:rPr>
        <w:lastRenderedPageBreak/>
        <w:t xml:space="preserve">over 1946–2016. We find that the </w:t>
      </w:r>
      <w:proofErr w:type="gramStart"/>
      <w:r w:rsidR="00BA185F" w:rsidRPr="008825D2">
        <w:rPr>
          <w:rFonts w:ascii="Times New Roman" w:hAnsi="Times New Roman" w:cs="Times New Roman"/>
        </w:rPr>
        <w:t>often cited</w:t>
      </w:r>
      <w:proofErr w:type="gramEnd"/>
      <w:r w:rsidR="00BA185F" w:rsidRPr="008825D2">
        <w:rPr>
          <w:rFonts w:ascii="Times New Roman" w:hAnsi="Times New Roman" w:cs="Times New Roman"/>
        </w:rPr>
        <w:t xml:space="preserve"> post–Bretton Woods transition from fixed to flexible arrangements is overstated; regimes with limited flexibility remain in the majority. Even if central bankers’ communications jargon has evolved considerably in recent decades, it is apparent that many still place a large implicit weight on the exchange rate. The U.S. dollar scores as the world's dominant anchor currency by a very large margin. By some metrics, its use is far wider today than 70 years ago. In contrast, the global role of the euro appears to have stalled. We argue that in addition to the usual safe assets story, the record accumulation of reserves since 2002 may also have to do with many countries’ desire to stabilize exchange rates in an environment of markedly reduced exchange rate restrictions or, more broadly, capital controls: an important amendment to the conventional portrayal of the macroeconomic trilemma.</w:t>
      </w:r>
    </w:p>
    <w:p w14:paraId="13ABC2F0"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p>
    <w:p w14:paraId="1BA8FFD6"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r w:rsidR="00BA185F" w:rsidRPr="008825D2">
        <w:rPr>
          <w:rFonts w:ascii="Times New Roman" w:hAnsi="Times New Roman" w:cs="Times New Roman"/>
        </w:rPr>
        <w:t>【</w:t>
      </w:r>
      <w:r w:rsidR="00BA185F" w:rsidRPr="008825D2">
        <w:rPr>
          <w:rFonts w:ascii="Times New Roman" w:hAnsi="Times New Roman" w:cs="Times New Roman"/>
        </w:rPr>
        <w:t>FE02</w:t>
      </w:r>
      <w:r w:rsidR="00BA185F" w:rsidRPr="008825D2">
        <w:rPr>
          <w:rFonts w:ascii="Times New Roman" w:hAnsi="Times New Roman" w:cs="Times New Roman"/>
        </w:rPr>
        <w:t>】</w:t>
      </w:r>
      <w:r w:rsidR="00BA185F" w:rsidRPr="008825D2">
        <w:rPr>
          <w:rFonts w:ascii="Times New Roman" w:hAnsi="Times New Roman" w:cs="Times New Roman"/>
        </w:rPr>
        <w:t>Capital Flows and Foreign Exchange Intervention</w:t>
      </w:r>
      <w:r w:rsidR="00BA185F" w:rsidRPr="008825D2">
        <w:rPr>
          <w:rFonts w:ascii="Times New Roman" w:hAnsi="Times New Roman" w:cs="Times New Roman"/>
        </w:rPr>
        <w:t xml:space="preserve">　　</w:t>
      </w:r>
      <w:proofErr w:type="spellStart"/>
      <w:r w:rsidR="00BA185F" w:rsidRPr="008825D2">
        <w:rPr>
          <w:rFonts w:ascii="Times New Roman" w:hAnsi="Times New Roman" w:cs="Times New Roman"/>
        </w:rPr>
        <w:t>Cavallino</w:t>
      </w:r>
      <w:proofErr w:type="spellEnd"/>
      <w:r w:rsidR="00BA185F" w:rsidRPr="008825D2">
        <w:rPr>
          <w:rFonts w:ascii="Times New Roman" w:hAnsi="Times New Roman" w:cs="Times New Roman"/>
        </w:rPr>
        <w:t>, P. (2019). American Economic Journal: Macroeconomics, 11(2), 127-170.</w:t>
      </w:r>
    </w:p>
    <w:p w14:paraId="291C0924"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r w:rsidR="00BA185F" w:rsidRPr="008825D2">
        <w:rPr>
          <w:rFonts w:ascii="Times New Roman" w:hAnsi="Times New Roman" w:cs="Times New Roman"/>
        </w:rPr>
        <w:t xml:space="preserve">I consider a small open economy model where international financial markets are imperfect and the exchange rate is determined by capital flows. I use this framework to study the effects of portfolio flow shocks, derive the optimal foreign exchange intervention policy, and characterize its interaction with monetary policy. I derive the optimal intervention rule in closed form as a function of three implicit targets. Finally, using Swiss data, I estimate the model to quantify the inefficiencies generated by capital flow shocks and the optimal size of the intervention. </w:t>
      </w:r>
    </w:p>
    <w:p w14:paraId="380113D0"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p>
    <w:p w14:paraId="325FB5E4"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r w:rsidR="00BA185F" w:rsidRPr="008825D2">
        <w:rPr>
          <w:rFonts w:ascii="Times New Roman" w:hAnsi="Times New Roman" w:cs="Times New Roman"/>
        </w:rPr>
        <w:t>【</w:t>
      </w:r>
      <w:r w:rsidR="00BA185F" w:rsidRPr="008825D2">
        <w:rPr>
          <w:rFonts w:ascii="Times New Roman" w:hAnsi="Times New Roman" w:cs="Times New Roman"/>
        </w:rPr>
        <w:t>FE03</w:t>
      </w:r>
      <w:r w:rsidR="00BA185F" w:rsidRPr="008825D2">
        <w:rPr>
          <w:rFonts w:ascii="Times New Roman" w:hAnsi="Times New Roman" w:cs="Times New Roman"/>
        </w:rPr>
        <w:t>】</w:t>
      </w:r>
      <w:r w:rsidR="00BA185F" w:rsidRPr="008825D2">
        <w:rPr>
          <w:rFonts w:ascii="Times New Roman" w:hAnsi="Times New Roman" w:cs="Times New Roman"/>
        </w:rPr>
        <w:t>When Is Foreign Exchange Intervention Effective? Evidence from 33 Countries</w:t>
      </w:r>
      <w:r w:rsidR="00BA185F" w:rsidRPr="008825D2">
        <w:rPr>
          <w:rFonts w:ascii="Times New Roman" w:hAnsi="Times New Roman" w:cs="Times New Roman"/>
        </w:rPr>
        <w:t xml:space="preserve">　　</w:t>
      </w:r>
      <w:proofErr w:type="spellStart"/>
      <w:r w:rsidR="00BA185F" w:rsidRPr="008825D2">
        <w:rPr>
          <w:rFonts w:ascii="Times New Roman" w:hAnsi="Times New Roman" w:cs="Times New Roman"/>
        </w:rPr>
        <w:t>Fratzscher</w:t>
      </w:r>
      <w:proofErr w:type="spellEnd"/>
      <w:r w:rsidR="00BA185F" w:rsidRPr="008825D2">
        <w:rPr>
          <w:rFonts w:ascii="Times New Roman" w:hAnsi="Times New Roman" w:cs="Times New Roman"/>
        </w:rPr>
        <w:t xml:space="preserve">, M., Gloede, O., </w:t>
      </w:r>
      <w:proofErr w:type="spellStart"/>
      <w:r w:rsidR="00BA185F" w:rsidRPr="008825D2">
        <w:rPr>
          <w:rFonts w:ascii="Times New Roman" w:hAnsi="Times New Roman" w:cs="Times New Roman"/>
        </w:rPr>
        <w:t>Menkhoff</w:t>
      </w:r>
      <w:proofErr w:type="spellEnd"/>
      <w:r w:rsidR="00BA185F" w:rsidRPr="008825D2">
        <w:rPr>
          <w:rFonts w:ascii="Times New Roman" w:hAnsi="Times New Roman" w:cs="Times New Roman"/>
        </w:rPr>
        <w:t xml:space="preserve">, L., </w:t>
      </w:r>
      <w:proofErr w:type="spellStart"/>
      <w:r w:rsidR="00BA185F" w:rsidRPr="008825D2">
        <w:rPr>
          <w:rFonts w:ascii="Times New Roman" w:hAnsi="Times New Roman" w:cs="Times New Roman"/>
        </w:rPr>
        <w:t>Sarno</w:t>
      </w:r>
      <w:proofErr w:type="spellEnd"/>
      <w:r w:rsidR="00BA185F" w:rsidRPr="008825D2">
        <w:rPr>
          <w:rFonts w:ascii="Times New Roman" w:hAnsi="Times New Roman" w:cs="Times New Roman"/>
        </w:rPr>
        <w:t xml:space="preserve">, L. &amp; </w:t>
      </w:r>
      <w:proofErr w:type="spellStart"/>
      <w:proofErr w:type="gramStart"/>
      <w:r w:rsidR="00BA185F" w:rsidRPr="008825D2">
        <w:rPr>
          <w:rFonts w:ascii="Times New Roman" w:hAnsi="Times New Roman" w:cs="Times New Roman"/>
        </w:rPr>
        <w:t>St?hr</w:t>
      </w:r>
      <w:proofErr w:type="spellEnd"/>
      <w:proofErr w:type="gramEnd"/>
      <w:r w:rsidR="00BA185F" w:rsidRPr="008825D2">
        <w:rPr>
          <w:rFonts w:ascii="Times New Roman" w:hAnsi="Times New Roman" w:cs="Times New Roman"/>
        </w:rPr>
        <w:t>, T. (2019). American Economic Journal: Macroeconomics, 11(1), 132-156.</w:t>
      </w:r>
    </w:p>
    <w:p w14:paraId="27897391"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r w:rsidR="00BA185F" w:rsidRPr="008825D2">
        <w:rPr>
          <w:rFonts w:ascii="Times New Roman" w:hAnsi="Times New Roman" w:cs="Times New Roman"/>
        </w:rPr>
        <w:t>This paper examines foreign exchange intervention based on novel daily data covering 33 countries from 1995 to 2011. We find that intervention is widely used and an effective policy tool, with a success rate in excess of 80 percent under some criteria. The policy works well in terms of smoothing the path of exchange rates, and in stabilizing the exchange rate in countries with narrow band regimes. Moving the level of the exchange rate in flexible regimes requires that some conditions are met, including the use of large volumes and that intervention is made public and supported via communication.</w:t>
      </w:r>
    </w:p>
    <w:p w14:paraId="561794A3"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p>
    <w:p w14:paraId="3BD9F988"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r w:rsidR="00BA185F" w:rsidRPr="008825D2">
        <w:rPr>
          <w:rFonts w:ascii="Times New Roman" w:hAnsi="Times New Roman" w:cs="Times New Roman"/>
        </w:rPr>
        <w:t>【</w:t>
      </w:r>
      <w:r w:rsidR="00BA185F" w:rsidRPr="008825D2">
        <w:rPr>
          <w:rFonts w:ascii="Times New Roman" w:hAnsi="Times New Roman" w:cs="Times New Roman"/>
        </w:rPr>
        <w:t>FE04</w:t>
      </w:r>
      <w:r w:rsidR="00BA185F" w:rsidRPr="008825D2">
        <w:rPr>
          <w:rFonts w:ascii="Times New Roman" w:hAnsi="Times New Roman" w:cs="Times New Roman"/>
        </w:rPr>
        <w:t>】</w:t>
      </w:r>
      <w:r w:rsidR="00BA185F" w:rsidRPr="008825D2">
        <w:rPr>
          <w:rFonts w:ascii="Times New Roman" w:hAnsi="Times New Roman" w:cs="Times New Roman"/>
        </w:rPr>
        <w:t>Does Incomplete Spanning in International Financial Markets Help to Explain Exchange Rates?</w:t>
      </w:r>
      <w:r w:rsidR="00BA185F" w:rsidRPr="008825D2">
        <w:rPr>
          <w:rFonts w:ascii="Times New Roman" w:hAnsi="Times New Roman" w:cs="Times New Roman"/>
        </w:rPr>
        <w:t xml:space="preserve">　　</w:t>
      </w:r>
      <w:r w:rsidR="00BA185F" w:rsidRPr="008825D2">
        <w:rPr>
          <w:rFonts w:ascii="Times New Roman" w:hAnsi="Times New Roman" w:cs="Times New Roman"/>
        </w:rPr>
        <w:t xml:space="preserve">Lustig, H. &amp; </w:t>
      </w:r>
      <w:proofErr w:type="spellStart"/>
      <w:r w:rsidR="00BA185F" w:rsidRPr="008825D2">
        <w:rPr>
          <w:rFonts w:ascii="Times New Roman" w:hAnsi="Times New Roman" w:cs="Times New Roman"/>
        </w:rPr>
        <w:t>Verdelhan</w:t>
      </w:r>
      <w:proofErr w:type="spellEnd"/>
      <w:r w:rsidR="00BA185F" w:rsidRPr="008825D2">
        <w:rPr>
          <w:rFonts w:ascii="Times New Roman" w:hAnsi="Times New Roman" w:cs="Times New Roman"/>
        </w:rPr>
        <w:t>, A. (2019). American Economic Review, 109(6), 2208-2244.</w:t>
      </w:r>
    </w:p>
    <w:p w14:paraId="4F423977"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r w:rsidR="00BA185F" w:rsidRPr="008825D2">
        <w:rPr>
          <w:rFonts w:ascii="Times New Roman" w:hAnsi="Times New Roman" w:cs="Times New Roman"/>
        </w:rPr>
        <w:t xml:space="preserve">We assume that domestic (foreign) agents, when investing abroad, can only trade in the foreign (domestic) risk-free rates. In a preference-free environment, we derive the exchange rate volatility and risk premia in any such incomplete spanning model, as well as a measure of exchange rate cyclicality. We find that incomplete spanning lowers the volatility of exchange rate, increases the risk premia but only by creating exchange rate predictability, and does not affect the exchange rate cyclicality. </w:t>
      </w:r>
    </w:p>
    <w:p w14:paraId="52D03497"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p>
    <w:p w14:paraId="343C657D"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r w:rsidR="00BA185F" w:rsidRPr="008825D2">
        <w:rPr>
          <w:rFonts w:ascii="Times New Roman" w:hAnsi="Times New Roman" w:cs="Times New Roman"/>
        </w:rPr>
        <w:t>【</w:t>
      </w:r>
      <w:r w:rsidR="00BA185F" w:rsidRPr="008825D2">
        <w:rPr>
          <w:rFonts w:ascii="Times New Roman" w:hAnsi="Times New Roman" w:cs="Times New Roman"/>
        </w:rPr>
        <w:t>FE05</w:t>
      </w:r>
      <w:r w:rsidR="00BA185F" w:rsidRPr="008825D2">
        <w:rPr>
          <w:rFonts w:ascii="Times New Roman" w:hAnsi="Times New Roman" w:cs="Times New Roman"/>
        </w:rPr>
        <w:t>】</w:t>
      </w:r>
      <w:r w:rsidR="00BA185F" w:rsidRPr="008825D2">
        <w:rPr>
          <w:rFonts w:ascii="Times New Roman" w:hAnsi="Times New Roman" w:cs="Times New Roman"/>
        </w:rPr>
        <w:t xml:space="preserve">The </w:t>
      </w:r>
      <w:proofErr w:type="spellStart"/>
      <w:r w:rsidR="00BA185F" w:rsidRPr="008825D2">
        <w:rPr>
          <w:rFonts w:ascii="Times New Roman" w:hAnsi="Times New Roman" w:cs="Times New Roman"/>
        </w:rPr>
        <w:t>Quanto</w:t>
      </w:r>
      <w:proofErr w:type="spellEnd"/>
      <w:r w:rsidR="00BA185F" w:rsidRPr="008825D2">
        <w:rPr>
          <w:rFonts w:ascii="Times New Roman" w:hAnsi="Times New Roman" w:cs="Times New Roman"/>
        </w:rPr>
        <w:t xml:space="preserve"> Theory of Exchange Rates</w:t>
      </w:r>
      <w:r w:rsidR="00BA185F" w:rsidRPr="008825D2">
        <w:rPr>
          <w:rFonts w:ascii="Times New Roman" w:hAnsi="Times New Roman" w:cs="Times New Roman"/>
        </w:rPr>
        <w:t xml:space="preserve">　　</w:t>
      </w:r>
      <w:proofErr w:type="spellStart"/>
      <w:r w:rsidR="00BA185F" w:rsidRPr="008825D2">
        <w:rPr>
          <w:rFonts w:ascii="Times New Roman" w:hAnsi="Times New Roman" w:cs="Times New Roman"/>
        </w:rPr>
        <w:t>Kremens</w:t>
      </w:r>
      <w:proofErr w:type="spellEnd"/>
      <w:r w:rsidR="00BA185F" w:rsidRPr="008825D2">
        <w:rPr>
          <w:rFonts w:ascii="Times New Roman" w:hAnsi="Times New Roman" w:cs="Times New Roman"/>
        </w:rPr>
        <w:t>, L. &amp; Martin, I. (2019). American Economic Review, 109(3), 810-843.</w:t>
      </w:r>
    </w:p>
    <w:p w14:paraId="25E1E84D"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r w:rsidR="00BA185F" w:rsidRPr="008825D2">
        <w:rPr>
          <w:rFonts w:ascii="Times New Roman" w:hAnsi="Times New Roman" w:cs="Times New Roman"/>
        </w:rPr>
        <w:t xml:space="preserve">We present a new identity that relates expected exchange rate appreciation to a risk-neutral </w:t>
      </w:r>
      <w:r w:rsidR="00BA185F" w:rsidRPr="008825D2">
        <w:rPr>
          <w:rFonts w:ascii="Times New Roman" w:hAnsi="Times New Roman" w:cs="Times New Roman"/>
        </w:rPr>
        <w:lastRenderedPageBreak/>
        <w:t xml:space="preserve">covariance term, and use it to motivate a currency forecasting variable based on the prices of </w:t>
      </w:r>
      <w:proofErr w:type="spellStart"/>
      <w:r w:rsidR="00BA185F" w:rsidRPr="008825D2">
        <w:rPr>
          <w:rFonts w:ascii="Times New Roman" w:hAnsi="Times New Roman" w:cs="Times New Roman"/>
        </w:rPr>
        <w:t>quanto</w:t>
      </w:r>
      <w:proofErr w:type="spellEnd"/>
      <w:r w:rsidR="00BA185F" w:rsidRPr="008825D2">
        <w:rPr>
          <w:rFonts w:ascii="Times New Roman" w:hAnsi="Times New Roman" w:cs="Times New Roman"/>
        </w:rPr>
        <w:t xml:space="preserve"> index contracts. We show via panel regressions that the </w:t>
      </w:r>
      <w:proofErr w:type="spellStart"/>
      <w:r w:rsidR="00BA185F" w:rsidRPr="008825D2">
        <w:rPr>
          <w:rFonts w:ascii="Times New Roman" w:hAnsi="Times New Roman" w:cs="Times New Roman"/>
        </w:rPr>
        <w:t>quanto</w:t>
      </w:r>
      <w:proofErr w:type="spellEnd"/>
      <w:r w:rsidR="00BA185F" w:rsidRPr="008825D2">
        <w:rPr>
          <w:rFonts w:ascii="Times New Roman" w:hAnsi="Times New Roman" w:cs="Times New Roman"/>
        </w:rPr>
        <w:t xml:space="preserve"> forecast variable is an economically and statistically significant predictor of currency appreciation and of excess returns on currency trades. Out of sample, the </w:t>
      </w:r>
      <w:proofErr w:type="spellStart"/>
      <w:r w:rsidR="00BA185F" w:rsidRPr="008825D2">
        <w:rPr>
          <w:rFonts w:ascii="Times New Roman" w:hAnsi="Times New Roman" w:cs="Times New Roman"/>
        </w:rPr>
        <w:t>quanto</w:t>
      </w:r>
      <w:proofErr w:type="spellEnd"/>
      <w:r w:rsidR="00BA185F" w:rsidRPr="008825D2">
        <w:rPr>
          <w:rFonts w:ascii="Times New Roman" w:hAnsi="Times New Roman" w:cs="Times New Roman"/>
        </w:rPr>
        <w:t xml:space="preserve"> variable outperforms predictions based on uncovered interest parity, on purchasing power parity, and on a random walk as a forecaster of differential (dollar-neutral) currency appreciation. </w:t>
      </w:r>
    </w:p>
    <w:p w14:paraId="0135DDFF"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p>
    <w:p w14:paraId="2677DC2A"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r w:rsidR="00BA185F" w:rsidRPr="008825D2">
        <w:rPr>
          <w:rFonts w:ascii="Times New Roman" w:hAnsi="Times New Roman" w:cs="Times New Roman"/>
        </w:rPr>
        <w:t>【</w:t>
      </w:r>
      <w:r w:rsidR="00BA185F" w:rsidRPr="008825D2">
        <w:rPr>
          <w:rFonts w:ascii="Times New Roman" w:hAnsi="Times New Roman" w:cs="Times New Roman"/>
        </w:rPr>
        <w:t>FE06</w:t>
      </w:r>
      <w:r w:rsidR="00BA185F" w:rsidRPr="008825D2">
        <w:rPr>
          <w:rFonts w:ascii="Times New Roman" w:hAnsi="Times New Roman" w:cs="Times New Roman"/>
        </w:rPr>
        <w:t>】</w:t>
      </w:r>
      <w:r w:rsidR="00BA185F" w:rsidRPr="008825D2">
        <w:rPr>
          <w:rFonts w:ascii="Times New Roman" w:hAnsi="Times New Roman" w:cs="Times New Roman"/>
        </w:rPr>
        <w:t>Exchange rate prediction redux: New models, new data, new currencies</w:t>
      </w:r>
      <w:r w:rsidR="00BA185F" w:rsidRPr="008825D2">
        <w:rPr>
          <w:rFonts w:ascii="Times New Roman" w:hAnsi="Times New Roman" w:cs="Times New Roman"/>
        </w:rPr>
        <w:t xml:space="preserve">　　</w:t>
      </w:r>
      <w:r w:rsidR="00BA185F" w:rsidRPr="008825D2">
        <w:rPr>
          <w:rFonts w:ascii="Times New Roman" w:hAnsi="Times New Roman" w:cs="Times New Roman"/>
        </w:rPr>
        <w:t>Cheung, Y., Chinn, M. D., Chinn, M. D., Pascual, A. G. &amp; Zhang, Y. (2019). Journal of International Money and Finance, 95, 332-362.</w:t>
      </w:r>
    </w:p>
    <w:p w14:paraId="64CF0418"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r w:rsidR="00BA185F" w:rsidRPr="008825D2">
        <w:rPr>
          <w:rFonts w:ascii="Times New Roman" w:hAnsi="Times New Roman" w:cs="Times New Roman"/>
        </w:rPr>
        <w:t xml:space="preserve">Previous assessments of nominal exchange rate determination, following Meese and Rogoff (1983) have focused upon a narrow set of models. Cheung et al. (2005) augmented the usual suspects with productivity based models, and “behavioral equilibrium exchange rate” models, and assessed performance at horizons of up to </w:t>
      </w:r>
      <w:proofErr w:type="gramStart"/>
      <w:r w:rsidR="00BA185F" w:rsidRPr="008825D2">
        <w:rPr>
          <w:rFonts w:ascii="Times New Roman" w:hAnsi="Times New Roman" w:cs="Times New Roman"/>
        </w:rPr>
        <w:t>5?years</w:t>
      </w:r>
      <w:proofErr w:type="gramEnd"/>
      <w:r w:rsidR="00BA185F" w:rsidRPr="008825D2">
        <w:rPr>
          <w:rFonts w:ascii="Times New Roman" w:hAnsi="Times New Roman" w:cs="Times New Roman"/>
        </w:rPr>
        <w:t>. In this paper, we further expand the set of models to include Taylor rule fundamentals, yield curve factors, and incorporate shadow rates and risk and liquidity factors. The performance of these models is compared against the random walk benchmark. The models are estimated in error correction and first-difference specifications. We examine model performance at various forecast horizons (1 quarter, 4 quarters, 20 quarters) using differing metrics (mean squared error, direction of change), as well as the “consistency” test of Cheung and Chinn (1998). The purchasing power parity estimated in the error correction form delivers the best performance at long horizons by a mean squared error measure. Moreover, along a direction-of-change dimension, certain structural models do outperform a random walk with statistical significance. While one finds that these forecasts are cointegrated with the actual values of exchange rates, in most cases, the elasticity of the forecasts with respect to the actual values is different from unity. Overall, model/specification/currency combinations that work well in one period and one performance metric will not necessarily work well in another period and alternative performance metric.</w:t>
      </w:r>
    </w:p>
    <w:p w14:paraId="1DC18574"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p>
    <w:p w14:paraId="1BEA644C"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r w:rsidR="00BA185F" w:rsidRPr="008825D2">
        <w:rPr>
          <w:rFonts w:ascii="Times New Roman" w:hAnsi="Times New Roman" w:cs="Times New Roman"/>
        </w:rPr>
        <w:t>【</w:t>
      </w:r>
      <w:r w:rsidR="00BA185F" w:rsidRPr="008825D2">
        <w:rPr>
          <w:rFonts w:ascii="Times New Roman" w:hAnsi="Times New Roman" w:cs="Times New Roman"/>
        </w:rPr>
        <w:t>FE07</w:t>
      </w:r>
      <w:r w:rsidR="00BA185F" w:rsidRPr="008825D2">
        <w:rPr>
          <w:rFonts w:ascii="Times New Roman" w:hAnsi="Times New Roman" w:cs="Times New Roman"/>
        </w:rPr>
        <w:t>】</w:t>
      </w:r>
      <w:r w:rsidR="00BA185F" w:rsidRPr="008825D2">
        <w:rPr>
          <w:rFonts w:ascii="Times New Roman" w:hAnsi="Times New Roman" w:cs="Times New Roman"/>
        </w:rPr>
        <w:t>The effects of government spending on real exchange rates: Evidence from military spending panel data</w:t>
      </w:r>
      <w:r w:rsidR="00BA185F" w:rsidRPr="008825D2">
        <w:rPr>
          <w:rFonts w:ascii="Times New Roman" w:hAnsi="Times New Roman" w:cs="Times New Roman"/>
        </w:rPr>
        <w:t xml:space="preserve">　　</w:t>
      </w:r>
      <w:r w:rsidR="00BA185F" w:rsidRPr="008825D2">
        <w:rPr>
          <w:rFonts w:ascii="Times New Roman" w:hAnsi="Times New Roman" w:cs="Times New Roman"/>
        </w:rPr>
        <w:t xml:space="preserve">Miyamoto, W., Nguyen, T. &amp; </w:t>
      </w:r>
      <w:proofErr w:type="spellStart"/>
      <w:r w:rsidR="00BA185F" w:rsidRPr="008825D2">
        <w:rPr>
          <w:rFonts w:ascii="Times New Roman" w:hAnsi="Times New Roman" w:cs="Times New Roman"/>
        </w:rPr>
        <w:t>Sheremirov</w:t>
      </w:r>
      <w:proofErr w:type="spellEnd"/>
      <w:r w:rsidR="00BA185F" w:rsidRPr="008825D2">
        <w:rPr>
          <w:rFonts w:ascii="Times New Roman" w:hAnsi="Times New Roman" w:cs="Times New Roman"/>
        </w:rPr>
        <w:t>, V. (2019). Journal of International Economics, 116, 144-157.</w:t>
      </w:r>
    </w:p>
    <w:p w14:paraId="272016EA"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r w:rsidR="00BA185F" w:rsidRPr="008825D2">
        <w:rPr>
          <w:rFonts w:ascii="Times New Roman" w:hAnsi="Times New Roman" w:cs="Times New Roman"/>
        </w:rPr>
        <w:t>Using panel data on military spending for 125 countries, we document new facts about the effects of changes in government purchases on the real exchange rate, consumption, and current accounts in both advanced and developing countries. While an increase in government purchases causes real exchange rates to appreciate and increases consumption significantly in developing countries, it causes real exchange rates to depreciate and decreases consumption in advanced countries. The current account decreases in both groups of countries. These findings are not consistent with standard international business cycle models. We discuss potential sources of the differences between advanced and developing countries in the responses to spending shocks.</w:t>
      </w:r>
    </w:p>
    <w:p w14:paraId="1CB56DF2"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p>
    <w:p w14:paraId="1AAF02DD"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r w:rsidR="00BA185F" w:rsidRPr="008825D2">
        <w:rPr>
          <w:rFonts w:ascii="Times New Roman" w:hAnsi="Times New Roman" w:cs="Times New Roman"/>
        </w:rPr>
        <w:t>【</w:t>
      </w:r>
      <w:r w:rsidR="00BA185F" w:rsidRPr="008825D2">
        <w:rPr>
          <w:rFonts w:ascii="Times New Roman" w:hAnsi="Times New Roman" w:cs="Times New Roman"/>
        </w:rPr>
        <w:t>FE08</w:t>
      </w:r>
      <w:r w:rsidR="00BA185F" w:rsidRPr="008825D2">
        <w:rPr>
          <w:rFonts w:ascii="Times New Roman" w:hAnsi="Times New Roman" w:cs="Times New Roman"/>
        </w:rPr>
        <w:t>】</w:t>
      </w:r>
      <w:r w:rsidR="00BA185F" w:rsidRPr="008825D2">
        <w:rPr>
          <w:rFonts w:ascii="Times New Roman" w:hAnsi="Times New Roman" w:cs="Times New Roman"/>
        </w:rPr>
        <w:t>The effects of conventional and unconventional monetary policy on exchange rates</w:t>
      </w:r>
      <w:r w:rsidR="00BA185F" w:rsidRPr="008825D2">
        <w:rPr>
          <w:rFonts w:ascii="Times New Roman" w:hAnsi="Times New Roman" w:cs="Times New Roman"/>
        </w:rPr>
        <w:t xml:space="preserve">　　</w:t>
      </w:r>
      <w:r w:rsidR="00BA185F" w:rsidRPr="008825D2">
        <w:rPr>
          <w:rFonts w:ascii="Times New Roman" w:hAnsi="Times New Roman" w:cs="Times New Roman"/>
        </w:rPr>
        <w:t>Inoue, A. &amp; Rossi, B. (2019). Journal of International Economics, 118, 419-447.</w:t>
      </w:r>
    </w:p>
    <w:p w14:paraId="6FC67448"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r w:rsidR="00BA185F" w:rsidRPr="008825D2">
        <w:rPr>
          <w:rFonts w:ascii="Times New Roman" w:hAnsi="Times New Roman" w:cs="Times New Roman"/>
        </w:rPr>
        <w:t xml:space="preserve">What are the effects of monetary policy on exchange rates? And have unconventional monetary policies changed the way monetary policy is transmitted to international financial markets? </w:t>
      </w:r>
      <w:r w:rsidR="00BA185F" w:rsidRPr="008825D2">
        <w:rPr>
          <w:rFonts w:ascii="Times New Roman" w:hAnsi="Times New Roman" w:cs="Times New Roman"/>
        </w:rPr>
        <w:lastRenderedPageBreak/>
        <w:t>According to conventional wisdom, expansionary monetary policy shocks in a country lead to that country's currency depreciation. We revisit the conventional wisdom during both conventional and unconventional monetary policy periods in the US by using a novel identification procedure that defines monetary policy shocks as changes in the whole yield curve due to unanticipated monetary policy moves and allows monetary policy shocks to differ depending on how they affect agents' expectations about the future path of interest rates as well as their perceived effects on the riskiness/uncertainty in the economy. Our empirical results show that: (</w:t>
      </w:r>
      <w:proofErr w:type="spellStart"/>
      <w:r w:rsidR="00BA185F" w:rsidRPr="008825D2">
        <w:rPr>
          <w:rFonts w:ascii="Times New Roman" w:hAnsi="Times New Roman" w:cs="Times New Roman"/>
        </w:rPr>
        <w:t>i</w:t>
      </w:r>
      <w:proofErr w:type="spellEnd"/>
      <w:r w:rsidR="00BA185F" w:rsidRPr="008825D2">
        <w:rPr>
          <w:rFonts w:ascii="Times New Roman" w:hAnsi="Times New Roman" w:cs="Times New Roman"/>
        </w:rPr>
        <w:t>) a monetary policy easing leads to a depreciation of the country's spot nominal exchange rate in both conventional and unconventional periods; (ii) however, there is substantial heterogeneity in monetary policy shocks over time and their effects depend on the way they affect agents' expectations; (iii) we find favorable evidence to Dornbusch's (1976) overshooting hypothesis; (iv) changes in expected real interest rates play an important role in the transmission of monetary policy shocks.</w:t>
      </w:r>
    </w:p>
    <w:p w14:paraId="0EF5D76B"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p>
    <w:p w14:paraId="232EFBEC"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r w:rsidR="00BA185F" w:rsidRPr="008825D2">
        <w:rPr>
          <w:rFonts w:ascii="Times New Roman" w:hAnsi="Times New Roman" w:cs="Times New Roman"/>
        </w:rPr>
        <w:t>【</w:t>
      </w:r>
      <w:r w:rsidR="00BA185F" w:rsidRPr="008825D2">
        <w:rPr>
          <w:rFonts w:ascii="Times New Roman" w:hAnsi="Times New Roman" w:cs="Times New Roman"/>
        </w:rPr>
        <w:t>FE09</w:t>
      </w:r>
      <w:r w:rsidR="00BA185F" w:rsidRPr="008825D2">
        <w:rPr>
          <w:rFonts w:ascii="Times New Roman" w:hAnsi="Times New Roman" w:cs="Times New Roman"/>
        </w:rPr>
        <w:t>】</w:t>
      </w:r>
      <w:r w:rsidR="00BA185F" w:rsidRPr="008825D2">
        <w:rPr>
          <w:rFonts w:ascii="Times New Roman" w:hAnsi="Times New Roman" w:cs="Times New Roman"/>
        </w:rPr>
        <w:t>Real exchange rate convergence: The roles of price stickiness and monetary policy</w:t>
      </w:r>
      <w:r w:rsidR="00BA185F" w:rsidRPr="008825D2">
        <w:rPr>
          <w:rFonts w:ascii="Times New Roman" w:hAnsi="Times New Roman" w:cs="Times New Roman"/>
        </w:rPr>
        <w:t xml:space="preserve">　　</w:t>
      </w:r>
      <w:r w:rsidR="00BA185F" w:rsidRPr="008825D2">
        <w:rPr>
          <w:rFonts w:ascii="Times New Roman" w:hAnsi="Times New Roman" w:cs="Times New Roman"/>
        </w:rPr>
        <w:t>Engel, C. (2019). Journal of Monetary Economics, 103, 21-32.</w:t>
      </w:r>
    </w:p>
    <w:p w14:paraId="571D6204"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r w:rsidR="00BA185F" w:rsidRPr="008825D2">
        <w:rPr>
          <w:rFonts w:ascii="Times New Roman" w:hAnsi="Times New Roman" w:cs="Times New Roman"/>
        </w:rPr>
        <w:t xml:space="preserve">In many open-economy models based on Dornbusch (1976), the speed of convergence of the real exchange rate is tied to the stickiness of prices. The “purchasing power parity puzzle” concerns the empirical fact that real exchange rates appear to converge more slowly than nominal prices. In some New Keynesian models, when there is no interest-rate smoothing, the stickiness of prices does not matter at all for persistence, as </w:t>
      </w:r>
      <w:proofErr w:type="spellStart"/>
      <w:r w:rsidR="00BA185F" w:rsidRPr="008825D2">
        <w:rPr>
          <w:rFonts w:ascii="Times New Roman" w:hAnsi="Times New Roman" w:cs="Times New Roman"/>
        </w:rPr>
        <w:t>Benigno</w:t>
      </w:r>
      <w:proofErr w:type="spellEnd"/>
      <w:r w:rsidR="00BA185F" w:rsidRPr="008825D2">
        <w:rPr>
          <w:rFonts w:ascii="Times New Roman" w:hAnsi="Times New Roman" w:cs="Times New Roman"/>
        </w:rPr>
        <w:t xml:space="preserve"> (2004) showed. We show that in the presence of interest-rate smoothing, price stickiness does matter and endogenous real-exchange rate persistence is bounded above by the interest rate smoothing parameter and by the probability of a firm not changing prices under Calvo pricing. We also explain the relationship between the New Keynesian framework with Calvo pricing, and the Dornbusch framework where price stickiness is integral to real exchange rate convergence.</w:t>
      </w:r>
    </w:p>
    <w:p w14:paraId="15006E63"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p>
    <w:p w14:paraId="335D11AF"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r w:rsidR="00BA185F" w:rsidRPr="008825D2">
        <w:rPr>
          <w:rFonts w:ascii="Times New Roman" w:hAnsi="Times New Roman" w:cs="Times New Roman"/>
        </w:rPr>
        <w:t>【</w:t>
      </w:r>
      <w:r w:rsidR="00BA185F" w:rsidRPr="008825D2">
        <w:rPr>
          <w:rFonts w:ascii="Times New Roman" w:hAnsi="Times New Roman" w:cs="Times New Roman"/>
        </w:rPr>
        <w:t>FE10</w:t>
      </w:r>
      <w:r w:rsidR="00BA185F" w:rsidRPr="008825D2">
        <w:rPr>
          <w:rFonts w:ascii="Times New Roman" w:hAnsi="Times New Roman" w:cs="Times New Roman"/>
        </w:rPr>
        <w:t>】</w:t>
      </w:r>
      <w:r w:rsidR="00BA185F" w:rsidRPr="008825D2">
        <w:rPr>
          <w:rFonts w:ascii="Times New Roman" w:hAnsi="Times New Roman" w:cs="Times New Roman"/>
        </w:rPr>
        <w:t>Capital controls and monetary policy in sudden-stop economies</w:t>
      </w:r>
      <w:r w:rsidR="00BA185F" w:rsidRPr="008825D2">
        <w:rPr>
          <w:rFonts w:ascii="Times New Roman" w:hAnsi="Times New Roman" w:cs="Times New Roman"/>
        </w:rPr>
        <w:t xml:space="preserve">　　</w:t>
      </w:r>
      <w:r w:rsidR="00BA185F" w:rsidRPr="008825D2">
        <w:rPr>
          <w:rFonts w:ascii="Times New Roman" w:hAnsi="Times New Roman" w:cs="Times New Roman"/>
        </w:rPr>
        <w:t>Devereux, M. B., Young, E. R. &amp; Yu, C. (2019). Journal of Monetary Economics, 103, 52-74.</w:t>
      </w:r>
    </w:p>
    <w:p w14:paraId="3A3AB13A"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r w:rsidR="00BA185F" w:rsidRPr="008825D2">
        <w:rPr>
          <w:rFonts w:ascii="Times New Roman" w:hAnsi="Times New Roman" w:cs="Times New Roman"/>
        </w:rPr>
        <w:t>The dangers of high capital flow volatility and sudden stops have led economists to promote the use of capital controls as an addition to monetary policy in emerging market economies. This paper studies the benefits of capital controls and monetary policy in a small open economy with financial frictions, nominal rigidities, and sudden stops. Without commitment, the optimal monetary policy should sharply diverge from price stability. The policymakers will also tax capital inflows in a crisis, but such taxes may be welfare reducing. With commitment, capital controls involve a mix of current capital inflow taxes and future capital flow subsidies. The optimal policy will never involve macro-prudential capital inflow taxes or a departure from price stability, whether or not commitment is available.</w:t>
      </w:r>
    </w:p>
    <w:p w14:paraId="7735F047"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p>
    <w:p w14:paraId="6CB5E831"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r w:rsidR="00BA185F" w:rsidRPr="008825D2">
        <w:rPr>
          <w:rFonts w:ascii="Times New Roman" w:hAnsi="Times New Roman" w:cs="Times New Roman"/>
        </w:rPr>
        <w:t>【</w:t>
      </w:r>
      <w:r w:rsidR="00BA185F" w:rsidRPr="008825D2">
        <w:rPr>
          <w:rFonts w:ascii="Times New Roman" w:hAnsi="Times New Roman" w:cs="Times New Roman"/>
        </w:rPr>
        <w:t>FE11</w:t>
      </w:r>
      <w:r w:rsidR="00BA185F" w:rsidRPr="008825D2">
        <w:rPr>
          <w:rFonts w:ascii="Times New Roman" w:hAnsi="Times New Roman" w:cs="Times New Roman"/>
        </w:rPr>
        <w:t>】</w:t>
      </w:r>
      <w:r w:rsidR="00BA185F" w:rsidRPr="008825D2">
        <w:rPr>
          <w:rFonts w:ascii="Times New Roman" w:hAnsi="Times New Roman" w:cs="Times New Roman"/>
        </w:rPr>
        <w:t xml:space="preserve">U.S. monetary policy and fluctuations of international bank </w:t>
      </w:r>
      <w:proofErr w:type="gramStart"/>
      <w:r w:rsidR="00BA185F" w:rsidRPr="008825D2">
        <w:rPr>
          <w:rFonts w:ascii="Times New Roman" w:hAnsi="Times New Roman" w:cs="Times New Roman"/>
        </w:rPr>
        <w:t>lending</w:t>
      </w:r>
      <w:r w:rsidR="00BA185F" w:rsidRPr="008825D2">
        <w:rPr>
          <w:rFonts w:ascii="Times New Roman" w:hAnsi="Times New Roman" w:cs="Times New Roman"/>
        </w:rPr>
        <w:t xml:space="preserve">　　</w:t>
      </w:r>
      <w:proofErr w:type="spellStart"/>
      <w:r w:rsidR="00BA185F" w:rsidRPr="008825D2">
        <w:rPr>
          <w:rFonts w:ascii="Times New Roman" w:hAnsi="Times New Roman" w:cs="Times New Roman"/>
        </w:rPr>
        <w:t>Avdjiev</w:t>
      </w:r>
      <w:proofErr w:type="spellEnd"/>
      <w:proofErr w:type="gramEnd"/>
      <w:r w:rsidR="00BA185F" w:rsidRPr="008825D2">
        <w:rPr>
          <w:rFonts w:ascii="Times New Roman" w:hAnsi="Times New Roman" w:cs="Times New Roman"/>
        </w:rPr>
        <w:t>, S. &amp; Hale, G. (2019). . monetary policy and fluctuations of international bank lending. Journal of International Money and Finance, 95, 251-268.</w:t>
      </w:r>
    </w:p>
    <w:p w14:paraId="6E0619B5"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r w:rsidR="00BA185F" w:rsidRPr="008825D2">
        <w:rPr>
          <w:rFonts w:ascii="Times New Roman" w:hAnsi="Times New Roman" w:cs="Times New Roman"/>
        </w:rPr>
        <w:t xml:space="preserve">There is no consensus in the empirical literature on the direction in which U.S. monetary policy affects cross-border bank lending. We find robust evidence that the impact of the U.S. federal funds rate on cross-border bank lending in a given period depends on the prevailing international capital </w:t>
      </w:r>
      <w:r w:rsidR="00BA185F" w:rsidRPr="008825D2">
        <w:rPr>
          <w:rFonts w:ascii="Times New Roman" w:hAnsi="Times New Roman" w:cs="Times New Roman"/>
        </w:rPr>
        <w:lastRenderedPageBreak/>
        <w:t>flows regime and on the level of the two main components of the federal funds rate: macroeconomic fundamentals and the monetary policy stance. During episodes in which bank lending from advanced to emerging economies is booming, the relationship between the federal funds rate and cross-border bank lending is positive and mostly driven by the macroeconomic fundamentals component, which is consistent with a search-for-yield behavior by internationally-active banks. In contrast, during episodes of stagnant growth in bank lending from advanced to emerging economies, the relationship between the federal funds rate and bank lending is negative, mainly due to the monetary policy stance component of the federal funds rate. The latter set of results is most pronounced for lending to emerging markets, which is consistent with the international bank-lending channel and flight-to-quality behavior by internationally-active banks.</w:t>
      </w:r>
    </w:p>
    <w:p w14:paraId="75B82114"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p>
    <w:p w14:paraId="7C5A0E2B"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r w:rsidR="00BA185F" w:rsidRPr="008825D2">
        <w:rPr>
          <w:rFonts w:ascii="Times New Roman" w:hAnsi="Times New Roman" w:cs="Times New Roman"/>
        </w:rPr>
        <w:t>【</w:t>
      </w:r>
      <w:r w:rsidR="00BA185F" w:rsidRPr="008825D2">
        <w:rPr>
          <w:rFonts w:ascii="Times New Roman" w:hAnsi="Times New Roman" w:cs="Times New Roman"/>
        </w:rPr>
        <w:t>FE12</w:t>
      </w:r>
      <w:r w:rsidR="00BA185F" w:rsidRPr="008825D2">
        <w:rPr>
          <w:rFonts w:ascii="Times New Roman" w:hAnsi="Times New Roman" w:cs="Times New Roman"/>
        </w:rPr>
        <w:t>】</w:t>
      </w:r>
      <w:r w:rsidR="00BA185F" w:rsidRPr="008825D2">
        <w:rPr>
          <w:rFonts w:ascii="Times New Roman" w:hAnsi="Times New Roman" w:cs="Times New Roman"/>
        </w:rPr>
        <w:t>The International Bank Lending Channel of Monetary Policy Rates and QE: Credit Supply,  Reach‐for‐Yield,  and Real Effects</w:t>
      </w:r>
      <w:r w:rsidR="00BA185F" w:rsidRPr="008825D2">
        <w:rPr>
          <w:rFonts w:ascii="Times New Roman" w:hAnsi="Times New Roman" w:cs="Times New Roman"/>
        </w:rPr>
        <w:t xml:space="preserve">　　</w:t>
      </w:r>
      <w:proofErr w:type="spellStart"/>
      <w:r w:rsidR="00BA185F" w:rsidRPr="008825D2">
        <w:rPr>
          <w:rFonts w:ascii="Times New Roman" w:hAnsi="Times New Roman" w:cs="Times New Roman"/>
        </w:rPr>
        <w:t>Morais</w:t>
      </w:r>
      <w:proofErr w:type="spellEnd"/>
      <w:r w:rsidR="00BA185F" w:rsidRPr="008825D2">
        <w:rPr>
          <w:rFonts w:ascii="Times New Roman" w:hAnsi="Times New Roman" w:cs="Times New Roman"/>
        </w:rPr>
        <w:t xml:space="preserve">, B., </w:t>
      </w:r>
      <w:proofErr w:type="spellStart"/>
      <w:r w:rsidR="00BA185F" w:rsidRPr="008825D2">
        <w:rPr>
          <w:rFonts w:ascii="Times New Roman" w:hAnsi="Times New Roman" w:cs="Times New Roman"/>
        </w:rPr>
        <w:t>Peydró</w:t>
      </w:r>
      <w:proofErr w:type="spellEnd"/>
      <w:r w:rsidR="00BA185F" w:rsidRPr="008825D2">
        <w:rPr>
          <w:rFonts w:ascii="Times New Roman" w:hAnsi="Times New Roman" w:cs="Times New Roman"/>
        </w:rPr>
        <w:t xml:space="preserve">, J., </w:t>
      </w:r>
      <w:proofErr w:type="spellStart"/>
      <w:r w:rsidR="00BA185F" w:rsidRPr="008825D2">
        <w:rPr>
          <w:rFonts w:ascii="Times New Roman" w:hAnsi="Times New Roman" w:cs="Times New Roman"/>
        </w:rPr>
        <w:t>Roldán‐</w:t>
      </w:r>
      <w:proofErr w:type="gramStart"/>
      <w:r w:rsidR="00BA185F" w:rsidRPr="008825D2">
        <w:rPr>
          <w:rFonts w:ascii="Times New Roman" w:hAnsi="Times New Roman" w:cs="Times New Roman"/>
        </w:rPr>
        <w:t>Pe?a</w:t>
      </w:r>
      <w:proofErr w:type="spellEnd"/>
      <w:proofErr w:type="gramEnd"/>
      <w:r w:rsidR="00BA185F" w:rsidRPr="008825D2">
        <w:rPr>
          <w:rFonts w:ascii="Times New Roman" w:hAnsi="Times New Roman" w:cs="Times New Roman"/>
        </w:rPr>
        <w:t>, J. &amp; Ruiz‐Ortega, C. (2019). Journal of Finance, 74(1), 55-90.</w:t>
      </w:r>
    </w:p>
    <w:p w14:paraId="7B265F76"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r w:rsidR="00BA185F" w:rsidRPr="008825D2">
        <w:rPr>
          <w:rFonts w:ascii="Times New Roman" w:hAnsi="Times New Roman" w:cs="Times New Roman"/>
        </w:rPr>
        <w:t>We identify the international credit channel by exploiting Mexican supervisory data sets and foreign monetary policy shocks in a country with a large presence of European and U.S. banks. A softening of foreign monetary policy expands credit supply of foreign banks (e.g., U.K. policy affects credit supply in Mexico via U.K. banks), inducing strong firm‐level real effects. Results support an international risk‐taking channel and spillovers of core countries’ monetary policies to emerging markets, both in the foreign monetary softening part (with higher credit and liquidity risk‐taking by foreign banks) and in the tightening part (with negative local firm‐level real effects).</w:t>
      </w:r>
    </w:p>
    <w:p w14:paraId="71BA2527"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p>
    <w:p w14:paraId="1197ADB5"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r w:rsidR="00BA185F" w:rsidRPr="008825D2">
        <w:rPr>
          <w:rFonts w:ascii="Times New Roman" w:hAnsi="Times New Roman" w:cs="Times New Roman"/>
        </w:rPr>
        <w:t>【</w:t>
      </w:r>
      <w:r w:rsidR="00BA185F" w:rsidRPr="008825D2">
        <w:rPr>
          <w:rFonts w:ascii="Times New Roman" w:hAnsi="Times New Roman" w:cs="Times New Roman"/>
        </w:rPr>
        <w:t>FE13</w:t>
      </w:r>
      <w:r w:rsidR="00BA185F" w:rsidRPr="008825D2">
        <w:rPr>
          <w:rFonts w:ascii="Times New Roman" w:hAnsi="Times New Roman" w:cs="Times New Roman"/>
        </w:rPr>
        <w:t>】</w:t>
      </w:r>
      <w:r w:rsidR="00BA185F" w:rsidRPr="008825D2">
        <w:rPr>
          <w:rFonts w:ascii="Times New Roman" w:hAnsi="Times New Roman" w:cs="Times New Roman"/>
        </w:rPr>
        <w:t>Push factors and capital flows to emerging markets: why knowing your lender matters more than fundamentals</w:t>
      </w:r>
      <w:r w:rsidR="00BA185F" w:rsidRPr="008825D2">
        <w:rPr>
          <w:rFonts w:ascii="Times New Roman" w:hAnsi="Times New Roman" w:cs="Times New Roman"/>
        </w:rPr>
        <w:t xml:space="preserve">　　</w:t>
      </w:r>
      <w:proofErr w:type="spellStart"/>
      <w:r w:rsidR="00BA185F" w:rsidRPr="008825D2">
        <w:rPr>
          <w:rFonts w:ascii="Times New Roman" w:hAnsi="Times New Roman" w:cs="Times New Roman"/>
        </w:rPr>
        <w:t>Cerutti</w:t>
      </w:r>
      <w:proofErr w:type="spellEnd"/>
      <w:r w:rsidR="00BA185F" w:rsidRPr="008825D2">
        <w:rPr>
          <w:rFonts w:ascii="Times New Roman" w:hAnsi="Times New Roman" w:cs="Times New Roman"/>
        </w:rPr>
        <w:t xml:space="preserve">, E., </w:t>
      </w:r>
      <w:proofErr w:type="spellStart"/>
      <w:r w:rsidR="00BA185F" w:rsidRPr="008825D2">
        <w:rPr>
          <w:rFonts w:ascii="Times New Roman" w:hAnsi="Times New Roman" w:cs="Times New Roman"/>
        </w:rPr>
        <w:t>Claessens</w:t>
      </w:r>
      <w:proofErr w:type="spellEnd"/>
      <w:r w:rsidR="00BA185F" w:rsidRPr="008825D2">
        <w:rPr>
          <w:rFonts w:ascii="Times New Roman" w:hAnsi="Times New Roman" w:cs="Times New Roman"/>
        </w:rPr>
        <w:t>, S. &amp; Puy, D. (2019). Journal of International Economics, 119, 133-149.</w:t>
      </w:r>
    </w:p>
    <w:p w14:paraId="0A08950C"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r w:rsidR="00BA185F" w:rsidRPr="008825D2">
        <w:rPr>
          <w:rFonts w:ascii="Times New Roman" w:hAnsi="Times New Roman" w:cs="Times New Roman"/>
        </w:rPr>
        <w:t>Countries' gross capital inflows are not equally affected by changes in global conditions. Analyzing 21 advanced countries (ACs) and 33 emerging markets (EMs) between 2001 and 2015, we confirm that co-movements in capital inflows are concentrated in bank, portfolio bond, and portfolio equity flows to EMs. However, changes in global factors do not affect all EMs equally, even for the same type of flow. Investigating the characteristics of these sensitivities, we find that EMs relying more on global mutual funds are more sensitive in their gross equity and bond inflows. Recipient market liquidity and inclusion in global market indices also increase sensitivities, but we find little robust evidence that institutional and macroeconomic fundamentals dampen sensitivities.</w:t>
      </w:r>
    </w:p>
    <w:p w14:paraId="06E1EC7F"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p>
    <w:p w14:paraId="4D142CF4"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r w:rsidR="00BA185F" w:rsidRPr="008825D2">
        <w:rPr>
          <w:rFonts w:ascii="Times New Roman" w:hAnsi="Times New Roman" w:cs="Times New Roman"/>
        </w:rPr>
        <w:t>【</w:t>
      </w:r>
      <w:r w:rsidR="00BA185F" w:rsidRPr="008825D2">
        <w:rPr>
          <w:rFonts w:ascii="Times New Roman" w:hAnsi="Times New Roman" w:cs="Times New Roman"/>
        </w:rPr>
        <w:t>FE14</w:t>
      </w:r>
      <w:r w:rsidR="00BA185F" w:rsidRPr="008825D2">
        <w:rPr>
          <w:rFonts w:ascii="Times New Roman" w:hAnsi="Times New Roman" w:cs="Times New Roman"/>
        </w:rPr>
        <w:t>】</w:t>
      </w:r>
      <w:r w:rsidR="00BA185F" w:rsidRPr="008825D2">
        <w:rPr>
          <w:rFonts w:ascii="Times New Roman" w:hAnsi="Times New Roman" w:cs="Times New Roman"/>
        </w:rPr>
        <w:t xml:space="preserve">Financial </w:t>
      </w:r>
      <w:proofErr w:type="spellStart"/>
      <w:r w:rsidR="00BA185F" w:rsidRPr="008825D2">
        <w:rPr>
          <w:rFonts w:ascii="Times New Roman" w:hAnsi="Times New Roman" w:cs="Times New Roman"/>
        </w:rPr>
        <w:t>deglobalisation</w:t>
      </w:r>
      <w:proofErr w:type="spellEnd"/>
      <w:r w:rsidR="00BA185F" w:rsidRPr="008825D2">
        <w:rPr>
          <w:rFonts w:ascii="Times New Roman" w:hAnsi="Times New Roman" w:cs="Times New Roman"/>
        </w:rPr>
        <w:t xml:space="preserve"> in banking?</w:t>
      </w:r>
      <w:r w:rsidR="00BA185F" w:rsidRPr="008825D2">
        <w:rPr>
          <w:rFonts w:ascii="Times New Roman" w:hAnsi="Times New Roman" w:cs="Times New Roman"/>
        </w:rPr>
        <w:t xml:space="preserve">　　</w:t>
      </w:r>
      <w:r w:rsidR="00BA185F" w:rsidRPr="008825D2">
        <w:rPr>
          <w:rFonts w:ascii="Times New Roman" w:hAnsi="Times New Roman" w:cs="Times New Roman"/>
        </w:rPr>
        <w:t xml:space="preserve">McCauley, R., </w:t>
      </w:r>
      <w:proofErr w:type="spellStart"/>
      <w:r w:rsidR="00BA185F" w:rsidRPr="008825D2">
        <w:rPr>
          <w:rFonts w:ascii="Times New Roman" w:hAnsi="Times New Roman" w:cs="Times New Roman"/>
        </w:rPr>
        <w:t>Bénétrix</w:t>
      </w:r>
      <w:proofErr w:type="spellEnd"/>
      <w:r w:rsidR="00BA185F" w:rsidRPr="008825D2">
        <w:rPr>
          <w:rFonts w:ascii="Times New Roman" w:hAnsi="Times New Roman" w:cs="Times New Roman"/>
        </w:rPr>
        <w:t>, A., McGuire, P. &amp; von Peter, G. (2019). Journal of International Money and Finance, 94, 116-131.</w:t>
      </w:r>
    </w:p>
    <w:p w14:paraId="7DBCE75B"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r w:rsidR="00BA185F" w:rsidRPr="008825D2">
        <w:rPr>
          <w:rFonts w:ascii="Times New Roman" w:hAnsi="Times New Roman" w:cs="Times New Roman"/>
        </w:rPr>
        <w:t xml:space="preserve">This paper argues that the decline in cross-border banking since 2007 does not amount to a broad-based retreat in international lending (“financial </w:t>
      </w:r>
      <w:proofErr w:type="spellStart"/>
      <w:r w:rsidR="00BA185F" w:rsidRPr="008825D2">
        <w:rPr>
          <w:rFonts w:ascii="Times New Roman" w:hAnsi="Times New Roman" w:cs="Times New Roman"/>
        </w:rPr>
        <w:t>deglobalisation</w:t>
      </w:r>
      <w:proofErr w:type="spellEnd"/>
      <w:r w:rsidR="00BA185F" w:rsidRPr="008825D2">
        <w:rPr>
          <w:rFonts w:ascii="Times New Roman" w:hAnsi="Times New Roman" w:cs="Times New Roman"/>
        </w:rPr>
        <w:t xml:space="preserve">”). We show that BIS international banking data </w:t>
      </w:r>
      <w:proofErr w:type="spellStart"/>
      <w:r w:rsidR="00BA185F" w:rsidRPr="008825D2">
        <w:rPr>
          <w:rFonts w:ascii="Times New Roman" w:hAnsi="Times New Roman" w:cs="Times New Roman"/>
        </w:rPr>
        <w:t>organised</w:t>
      </w:r>
      <w:proofErr w:type="spellEnd"/>
      <w:r w:rsidR="00BA185F" w:rsidRPr="008825D2">
        <w:rPr>
          <w:rFonts w:ascii="Times New Roman" w:hAnsi="Times New Roman" w:cs="Times New Roman"/>
        </w:rPr>
        <w:t xml:space="preserve"> by the nationality of reporting banks provide a clearer picture of international financial integration than the traditional “residence”, or balance-of-payments, view. They show that what appears to be a global shrinkage of bank positions is actually driven by European banks. These banks uniquely responded to credit losses after 2007 by shedding assets abroad to restore capital ratios. Other banking systems’ global footprints, notably those of Japanese, Canadian and even US banks, have expanded since 2007. Using a global dataset of banks’ affiliates </w:t>
      </w:r>
      <w:r w:rsidR="00BA185F" w:rsidRPr="008825D2">
        <w:rPr>
          <w:rFonts w:ascii="Times New Roman" w:hAnsi="Times New Roman" w:cs="Times New Roman"/>
        </w:rPr>
        <w:lastRenderedPageBreak/>
        <w:t>(branches and subsidiaries), we demonstrate that the who (i.e., bank nationality) accounts for more of the peak-to-trough shrinkage in foreign claims than does the where (i.e., locational factors). We relate bank nationality in turn to EU membership, which may reflect asset shrinkage required by the EU competition authorities in response to state aid, bank profitability and credit losses.</w:t>
      </w:r>
    </w:p>
    <w:p w14:paraId="3CC5F9B5"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p>
    <w:p w14:paraId="30956267"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r w:rsidR="00BA185F" w:rsidRPr="008825D2">
        <w:rPr>
          <w:rFonts w:ascii="Times New Roman" w:hAnsi="Times New Roman" w:cs="Times New Roman"/>
        </w:rPr>
        <w:t>【</w:t>
      </w:r>
      <w:r w:rsidR="00BA185F" w:rsidRPr="008825D2">
        <w:rPr>
          <w:rFonts w:ascii="Times New Roman" w:hAnsi="Times New Roman" w:cs="Times New Roman"/>
        </w:rPr>
        <w:t>FE15</w:t>
      </w:r>
      <w:r w:rsidR="00BA185F" w:rsidRPr="008825D2">
        <w:rPr>
          <w:rFonts w:ascii="Times New Roman" w:hAnsi="Times New Roman" w:cs="Times New Roman"/>
        </w:rPr>
        <w:t>】</w:t>
      </w:r>
      <w:r w:rsidR="00BA185F" w:rsidRPr="008825D2">
        <w:rPr>
          <w:rFonts w:ascii="Times New Roman" w:hAnsi="Times New Roman" w:cs="Times New Roman"/>
        </w:rPr>
        <w:t>On the global financial market integration “swoosh” and the trilemma</w:t>
      </w:r>
      <w:r w:rsidR="00BA185F" w:rsidRPr="008825D2">
        <w:rPr>
          <w:rFonts w:ascii="Times New Roman" w:hAnsi="Times New Roman" w:cs="Times New Roman"/>
        </w:rPr>
        <w:t xml:space="preserve">　　</w:t>
      </w:r>
      <w:r w:rsidR="00BA185F" w:rsidRPr="008825D2">
        <w:rPr>
          <w:rFonts w:ascii="Times New Roman" w:hAnsi="Times New Roman" w:cs="Times New Roman"/>
        </w:rPr>
        <w:t xml:space="preserve">Bekaert, G. &amp; </w:t>
      </w:r>
      <w:proofErr w:type="spellStart"/>
      <w:r w:rsidR="00BA185F" w:rsidRPr="008825D2">
        <w:rPr>
          <w:rFonts w:ascii="Times New Roman" w:hAnsi="Times New Roman" w:cs="Times New Roman"/>
        </w:rPr>
        <w:t>Mehl</w:t>
      </w:r>
      <w:proofErr w:type="spellEnd"/>
      <w:r w:rsidR="00BA185F" w:rsidRPr="008825D2">
        <w:rPr>
          <w:rFonts w:ascii="Times New Roman" w:hAnsi="Times New Roman" w:cs="Times New Roman"/>
        </w:rPr>
        <w:t>, A. (2019). Journal of International Money and Finance, 94, 227-245.</w:t>
      </w:r>
    </w:p>
    <w:p w14:paraId="658049A5"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r w:rsidR="00BA185F" w:rsidRPr="008825D2">
        <w:rPr>
          <w:rFonts w:ascii="Times New Roman" w:hAnsi="Times New Roman" w:cs="Times New Roman"/>
        </w:rPr>
        <w:t>We propose a measure of financial market integration based on a factor model of equity returns computed back to the first era of financial globalization for 17 countries. Global financial integration follows a “swoosh” shape – high pre-1913, higher post-1990, low in the interwar period – rather than other shapes hypothesized in earlier literature. We find no evidence of financial globalization reversing since the Great Recession, as claimed in other recent studies. We use our measure to revisit the debate on whether the classic monetary policy trilemma has recently morphed into a dilemma and find no evidence for such change.</w:t>
      </w:r>
    </w:p>
    <w:p w14:paraId="03B90825"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p>
    <w:p w14:paraId="77D054AA"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r w:rsidR="00BA185F" w:rsidRPr="008825D2">
        <w:rPr>
          <w:rFonts w:ascii="Times New Roman" w:hAnsi="Times New Roman" w:cs="Times New Roman"/>
        </w:rPr>
        <w:t>【</w:t>
      </w:r>
      <w:r w:rsidR="00BA185F" w:rsidRPr="008825D2">
        <w:rPr>
          <w:rFonts w:ascii="Times New Roman" w:hAnsi="Times New Roman" w:cs="Times New Roman"/>
        </w:rPr>
        <w:t>FE16</w:t>
      </w:r>
      <w:r w:rsidR="00BA185F" w:rsidRPr="008825D2">
        <w:rPr>
          <w:rFonts w:ascii="Times New Roman" w:hAnsi="Times New Roman" w:cs="Times New Roman"/>
        </w:rPr>
        <w:t>】</w:t>
      </w:r>
      <w:r w:rsidR="00BA185F" w:rsidRPr="008825D2">
        <w:rPr>
          <w:rFonts w:ascii="Times New Roman" w:hAnsi="Times New Roman" w:cs="Times New Roman"/>
        </w:rPr>
        <w:t>On corporate borrowing,  credit spreads and economic activity in emerging economies: An empirical investigation</w:t>
      </w:r>
      <w:r w:rsidR="00BA185F" w:rsidRPr="008825D2">
        <w:rPr>
          <w:rFonts w:ascii="Times New Roman" w:hAnsi="Times New Roman" w:cs="Times New Roman"/>
        </w:rPr>
        <w:t xml:space="preserve">　　</w:t>
      </w:r>
      <w:r w:rsidR="00BA185F" w:rsidRPr="008825D2">
        <w:rPr>
          <w:rFonts w:ascii="Times New Roman" w:hAnsi="Times New Roman" w:cs="Times New Roman"/>
        </w:rPr>
        <w:t>Caballero, J., Fernández, A. &amp; Park, J. (2019). Journal of International Economics, 118, 160-178.</w:t>
      </w:r>
    </w:p>
    <w:p w14:paraId="34433600"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r w:rsidR="00BA185F" w:rsidRPr="008825D2">
        <w:rPr>
          <w:rFonts w:ascii="Times New Roman" w:hAnsi="Times New Roman" w:cs="Times New Roman"/>
        </w:rPr>
        <w:t xml:space="preserve">We provide new insights into the relationship between financial market tightness and real activity, using a new database of corporate bonds issued in eight European countries. Bond spreads have a significant negative relationship with four real activity variables at horizons 1–8 quarters ahead. The relationship is robust to adding measures of monetary policy tightness and leading indicators, providing strong support for models previously only evaluated on US data. A subset of northern European countries </w:t>
      </w:r>
      <w:proofErr w:type="gramStart"/>
      <w:r w:rsidR="00BA185F" w:rsidRPr="008825D2">
        <w:rPr>
          <w:rFonts w:ascii="Times New Roman" w:hAnsi="Times New Roman" w:cs="Times New Roman"/>
        </w:rPr>
        <w:t>have</w:t>
      </w:r>
      <w:proofErr w:type="gramEnd"/>
      <w:r w:rsidR="00BA185F" w:rsidRPr="008825D2">
        <w:rPr>
          <w:rFonts w:ascii="Times New Roman" w:hAnsi="Times New Roman" w:cs="Times New Roman"/>
        </w:rPr>
        <w:t xml:space="preserve"> similar sensitivity of real GDP to bond spreads, but others have greater sensitivity to bond spreads, revealing diverse responses in Europe to financial market tightness.</w:t>
      </w:r>
    </w:p>
    <w:p w14:paraId="40653CD5"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p>
    <w:p w14:paraId="37EDAE91"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r w:rsidR="00BA185F" w:rsidRPr="008825D2">
        <w:rPr>
          <w:rFonts w:ascii="Times New Roman" w:hAnsi="Times New Roman" w:cs="Times New Roman"/>
        </w:rPr>
        <w:t>【</w:t>
      </w:r>
      <w:r w:rsidR="00BA185F" w:rsidRPr="008825D2">
        <w:rPr>
          <w:rFonts w:ascii="Times New Roman" w:hAnsi="Times New Roman" w:cs="Times New Roman"/>
        </w:rPr>
        <w:t>FE17</w:t>
      </w:r>
      <w:r w:rsidR="00BA185F" w:rsidRPr="008825D2">
        <w:rPr>
          <w:rFonts w:ascii="Times New Roman" w:hAnsi="Times New Roman" w:cs="Times New Roman"/>
        </w:rPr>
        <w:t>】</w:t>
      </w:r>
      <w:r w:rsidR="00BA185F" w:rsidRPr="008825D2">
        <w:rPr>
          <w:rFonts w:ascii="Times New Roman" w:hAnsi="Times New Roman" w:cs="Times New Roman"/>
        </w:rPr>
        <w:t>Corporate debt,  firm size and financial fragility in emerging markets</w:t>
      </w:r>
      <w:r w:rsidR="00BA185F" w:rsidRPr="008825D2">
        <w:rPr>
          <w:rFonts w:ascii="Times New Roman" w:hAnsi="Times New Roman" w:cs="Times New Roman"/>
        </w:rPr>
        <w:t xml:space="preserve">　　</w:t>
      </w:r>
      <w:r w:rsidR="00BA185F" w:rsidRPr="008825D2">
        <w:rPr>
          <w:rFonts w:ascii="Times New Roman" w:hAnsi="Times New Roman" w:cs="Times New Roman"/>
        </w:rPr>
        <w:t xml:space="preserve">Alfaro, L., </w:t>
      </w:r>
      <w:proofErr w:type="spellStart"/>
      <w:r w:rsidR="00BA185F" w:rsidRPr="008825D2">
        <w:rPr>
          <w:rFonts w:ascii="Times New Roman" w:hAnsi="Times New Roman" w:cs="Times New Roman"/>
        </w:rPr>
        <w:t>Asis</w:t>
      </w:r>
      <w:proofErr w:type="spellEnd"/>
      <w:r w:rsidR="00BA185F" w:rsidRPr="008825D2">
        <w:rPr>
          <w:rFonts w:ascii="Times New Roman" w:hAnsi="Times New Roman" w:cs="Times New Roman"/>
        </w:rPr>
        <w:t>, G., Chari, A. &amp; Panizza, U. (2019). Journal of International Economics, 118, 1-19.</w:t>
      </w:r>
    </w:p>
    <w:p w14:paraId="69171523"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r w:rsidR="00BA185F" w:rsidRPr="008825D2">
        <w:rPr>
          <w:rFonts w:ascii="Times New Roman" w:hAnsi="Times New Roman" w:cs="Times New Roman"/>
        </w:rPr>
        <w:t xml:space="preserve">The post-Global Financial Crisis period shows a surge in corporate leverage in emerging markets and a number of countries with deteriorated corporate financial fragility indicators (Altman's Z-score). Firm size plays a critical role in the relationship between leverage, firm fragility and exchange rate movements in emerging markets. While the relationship between firm-leverage and distress scores varies over time, the relationship between firm size and corporate vulnerability is relatively time-invariant. All else equal, large firms in emerging markets are more financially vulnerable and also systemically important. Consistent with the granular origins of aggregate fluctuations in </w:t>
      </w:r>
      <w:proofErr w:type="spellStart"/>
      <w:r w:rsidR="00BA185F" w:rsidRPr="008825D2">
        <w:rPr>
          <w:rFonts w:ascii="Times New Roman" w:hAnsi="Times New Roman" w:cs="Times New Roman"/>
        </w:rPr>
        <w:t>Gabaix</w:t>
      </w:r>
      <w:proofErr w:type="spellEnd"/>
      <w:r w:rsidR="00BA185F" w:rsidRPr="008825D2">
        <w:rPr>
          <w:rFonts w:ascii="Times New Roman" w:hAnsi="Times New Roman" w:cs="Times New Roman"/>
        </w:rPr>
        <w:t xml:space="preserve"> (2011), idiosyncratic shocks to the sales growth of large firms are positively and significantly correlated with GDP growth in our emerging markets sample. Relatedly, the negative impact of exchange rate shocks has a more acute impact on the sales growth of the more highly levered large firms.</w:t>
      </w:r>
    </w:p>
    <w:p w14:paraId="07281B75"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p>
    <w:p w14:paraId="69A5F64A"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r w:rsidR="00BA185F" w:rsidRPr="008825D2">
        <w:rPr>
          <w:rFonts w:ascii="Times New Roman" w:hAnsi="Times New Roman" w:cs="Times New Roman"/>
        </w:rPr>
        <w:t>【</w:t>
      </w:r>
      <w:r w:rsidR="00BA185F" w:rsidRPr="008825D2">
        <w:rPr>
          <w:rFonts w:ascii="Times New Roman" w:hAnsi="Times New Roman" w:cs="Times New Roman"/>
        </w:rPr>
        <w:t>FE18</w:t>
      </w:r>
      <w:r w:rsidR="00BA185F" w:rsidRPr="008825D2">
        <w:rPr>
          <w:rFonts w:ascii="Times New Roman" w:hAnsi="Times New Roman" w:cs="Times New Roman"/>
        </w:rPr>
        <w:t>】</w:t>
      </w:r>
      <w:r w:rsidR="00BA185F" w:rsidRPr="008825D2">
        <w:rPr>
          <w:rFonts w:ascii="Times New Roman" w:hAnsi="Times New Roman" w:cs="Times New Roman"/>
        </w:rPr>
        <w:t>Self-Fulfilling Debt Crises: A Quantitative Analysis</w:t>
      </w:r>
      <w:r w:rsidR="00BA185F" w:rsidRPr="008825D2">
        <w:rPr>
          <w:rFonts w:ascii="Times New Roman" w:hAnsi="Times New Roman" w:cs="Times New Roman"/>
        </w:rPr>
        <w:t xml:space="preserve">　　</w:t>
      </w:r>
      <w:proofErr w:type="spellStart"/>
      <w:r w:rsidR="00BA185F" w:rsidRPr="008825D2">
        <w:rPr>
          <w:rFonts w:ascii="Times New Roman" w:hAnsi="Times New Roman" w:cs="Times New Roman"/>
        </w:rPr>
        <w:t>Bocola</w:t>
      </w:r>
      <w:proofErr w:type="spellEnd"/>
      <w:r w:rsidR="00BA185F" w:rsidRPr="008825D2">
        <w:rPr>
          <w:rFonts w:ascii="Times New Roman" w:hAnsi="Times New Roman" w:cs="Times New Roman"/>
        </w:rPr>
        <w:t xml:space="preserve">, L. &amp; </w:t>
      </w:r>
      <w:proofErr w:type="spellStart"/>
      <w:r w:rsidR="00BA185F" w:rsidRPr="008825D2">
        <w:rPr>
          <w:rFonts w:ascii="Times New Roman" w:hAnsi="Times New Roman" w:cs="Times New Roman"/>
        </w:rPr>
        <w:t>Dovis</w:t>
      </w:r>
      <w:proofErr w:type="spellEnd"/>
      <w:r w:rsidR="00BA185F" w:rsidRPr="008825D2">
        <w:rPr>
          <w:rFonts w:ascii="Times New Roman" w:hAnsi="Times New Roman" w:cs="Times New Roman"/>
        </w:rPr>
        <w:t>, A. (2019). American Economic Review, 109(</w:t>
      </w:r>
      <w:proofErr w:type="gramStart"/>
      <w:r w:rsidR="00BA185F" w:rsidRPr="008825D2">
        <w:rPr>
          <w:rFonts w:ascii="Times New Roman" w:hAnsi="Times New Roman" w:cs="Times New Roman"/>
        </w:rPr>
        <w:t>12 )</w:t>
      </w:r>
      <w:proofErr w:type="gramEnd"/>
      <w:r w:rsidR="00BA185F" w:rsidRPr="008825D2">
        <w:rPr>
          <w:rFonts w:ascii="Times New Roman" w:hAnsi="Times New Roman" w:cs="Times New Roman"/>
        </w:rPr>
        <w:t>, 4343-4377.</w:t>
      </w:r>
    </w:p>
    <w:p w14:paraId="2E4004D1"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r w:rsidR="00BA185F" w:rsidRPr="008825D2">
        <w:rPr>
          <w:rFonts w:ascii="Times New Roman" w:hAnsi="Times New Roman" w:cs="Times New Roman"/>
        </w:rPr>
        <w:t xml:space="preserve">This paper investigates the role of self-fulfilling expectations in sovereign bond markets. We </w:t>
      </w:r>
      <w:r w:rsidR="00BA185F" w:rsidRPr="008825D2">
        <w:rPr>
          <w:rFonts w:ascii="Times New Roman" w:hAnsi="Times New Roman" w:cs="Times New Roman"/>
        </w:rPr>
        <w:lastRenderedPageBreak/>
        <w:t xml:space="preserve">consider a model of sovereign borrowing featuring endogenous debt maturity, risk-averse lenders, and self-fulfilling crises à la Cole and Kehoe (2000). In this environment, interest rate spreads are driven by both fundamental and nonfundamental risk. These two sources of risk have contrasting implications for the maturity structure of debt chosen by the government. Therefore, they can be indirectly inferred by tracking the evolution of debt maturity. We fit the model to Italian data and find that nonfundamental risk played a limited role during the 2008–2012 crisis. </w:t>
      </w:r>
    </w:p>
    <w:p w14:paraId="07B7D712"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p>
    <w:p w14:paraId="490EC288"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r w:rsidR="00BA185F" w:rsidRPr="008825D2">
        <w:rPr>
          <w:rFonts w:ascii="Times New Roman" w:hAnsi="Times New Roman" w:cs="Times New Roman"/>
        </w:rPr>
        <w:t>【</w:t>
      </w:r>
      <w:r w:rsidR="00BA185F" w:rsidRPr="008825D2">
        <w:rPr>
          <w:rFonts w:ascii="Times New Roman" w:hAnsi="Times New Roman" w:cs="Times New Roman"/>
        </w:rPr>
        <w:t>FE19</w:t>
      </w:r>
      <w:r w:rsidR="00BA185F" w:rsidRPr="008825D2">
        <w:rPr>
          <w:rFonts w:ascii="Times New Roman" w:hAnsi="Times New Roman" w:cs="Times New Roman"/>
        </w:rPr>
        <w:t>】</w:t>
      </w:r>
      <w:r w:rsidR="00BA185F" w:rsidRPr="008825D2">
        <w:rPr>
          <w:rFonts w:ascii="Times New Roman" w:hAnsi="Times New Roman" w:cs="Times New Roman"/>
        </w:rPr>
        <w:t>Is Inflation Default? The Role of Information in Debt Crises</w:t>
      </w:r>
      <w:r w:rsidR="00BA185F" w:rsidRPr="008825D2">
        <w:rPr>
          <w:rFonts w:ascii="Times New Roman" w:hAnsi="Times New Roman" w:cs="Times New Roman"/>
        </w:rPr>
        <w:t xml:space="preserve">　　</w:t>
      </w:r>
      <w:proofErr w:type="spellStart"/>
      <w:r w:rsidR="00BA185F" w:rsidRPr="008825D2">
        <w:rPr>
          <w:rFonts w:ascii="Times New Roman" w:hAnsi="Times New Roman" w:cs="Times New Roman"/>
        </w:rPr>
        <w:t>Bassetto</w:t>
      </w:r>
      <w:proofErr w:type="spellEnd"/>
      <w:r w:rsidR="00BA185F" w:rsidRPr="008825D2">
        <w:rPr>
          <w:rFonts w:ascii="Times New Roman" w:hAnsi="Times New Roman" w:cs="Times New Roman"/>
        </w:rPr>
        <w:t>, M. &amp; Galli, C. (2019). American Economic Review, 109(10), 3556-3584).</w:t>
      </w:r>
    </w:p>
    <w:p w14:paraId="5BD1E0A7"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r w:rsidR="00BA185F" w:rsidRPr="008825D2">
        <w:rPr>
          <w:rFonts w:ascii="Times New Roman" w:hAnsi="Times New Roman" w:cs="Times New Roman"/>
        </w:rPr>
        <w:t xml:space="preserve">We study the information sensitivity of government debt denominated in domestic versus foreign currency: the former is subject to inflation risk and the latter to default. Default only affects sophisticated bond traders, whereas inflation concerns a larger and less informed group. Within a two-period Bayesian trading game, differential information manifests itself in the secondary market, and we display conditions under which debt prices are more resilient to bad news even in the primary market, where only sophisticated players operate. Our results can explain debt prices across countries following the 2008 financial crisis, and also provide a theory of "original sin." </w:t>
      </w:r>
    </w:p>
    <w:p w14:paraId="454A9B77"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p>
    <w:p w14:paraId="7A189687"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r w:rsidR="00BA185F" w:rsidRPr="008825D2">
        <w:rPr>
          <w:rFonts w:ascii="Times New Roman" w:hAnsi="Times New Roman" w:cs="Times New Roman"/>
        </w:rPr>
        <w:t>【</w:t>
      </w:r>
      <w:r w:rsidR="00BA185F" w:rsidRPr="008825D2">
        <w:rPr>
          <w:rFonts w:ascii="Times New Roman" w:hAnsi="Times New Roman" w:cs="Times New Roman"/>
        </w:rPr>
        <w:t>FE20</w:t>
      </w:r>
      <w:r w:rsidR="00BA185F" w:rsidRPr="008825D2">
        <w:rPr>
          <w:rFonts w:ascii="Times New Roman" w:hAnsi="Times New Roman" w:cs="Times New Roman"/>
        </w:rPr>
        <w:t>】</w:t>
      </w:r>
      <w:r w:rsidR="00BA185F" w:rsidRPr="008825D2">
        <w:rPr>
          <w:rFonts w:ascii="Times New Roman" w:hAnsi="Times New Roman" w:cs="Times New Roman"/>
        </w:rPr>
        <w:t>Quantitative sovereign default models and the European debt crisis</w:t>
      </w:r>
      <w:r w:rsidR="00BA185F" w:rsidRPr="008825D2">
        <w:rPr>
          <w:rFonts w:ascii="Times New Roman" w:hAnsi="Times New Roman" w:cs="Times New Roman"/>
        </w:rPr>
        <w:t xml:space="preserve">　　</w:t>
      </w:r>
      <w:proofErr w:type="spellStart"/>
      <w:r w:rsidR="00BA185F" w:rsidRPr="008825D2">
        <w:rPr>
          <w:rFonts w:ascii="Times New Roman" w:hAnsi="Times New Roman" w:cs="Times New Roman"/>
        </w:rPr>
        <w:t>Bocola</w:t>
      </w:r>
      <w:proofErr w:type="spellEnd"/>
      <w:r w:rsidR="00BA185F" w:rsidRPr="008825D2">
        <w:rPr>
          <w:rFonts w:ascii="Times New Roman" w:hAnsi="Times New Roman" w:cs="Times New Roman"/>
        </w:rPr>
        <w:t xml:space="preserve">, L., Bornstein, G. &amp; </w:t>
      </w:r>
      <w:proofErr w:type="spellStart"/>
      <w:r w:rsidR="00BA185F" w:rsidRPr="008825D2">
        <w:rPr>
          <w:rFonts w:ascii="Times New Roman" w:hAnsi="Times New Roman" w:cs="Times New Roman"/>
        </w:rPr>
        <w:t>Dovis</w:t>
      </w:r>
      <w:proofErr w:type="spellEnd"/>
      <w:r w:rsidR="00BA185F" w:rsidRPr="008825D2">
        <w:rPr>
          <w:rFonts w:ascii="Times New Roman" w:hAnsi="Times New Roman" w:cs="Times New Roman"/>
        </w:rPr>
        <w:t>, A. (2019). Journal of International Economics, 118, 20-30.</w:t>
      </w:r>
    </w:p>
    <w:p w14:paraId="521706B2"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r w:rsidR="00BA185F" w:rsidRPr="008825D2">
        <w:rPr>
          <w:rFonts w:ascii="Times New Roman" w:hAnsi="Times New Roman" w:cs="Times New Roman"/>
        </w:rPr>
        <w:t xml:space="preserve">A large literature has developed quantitative versions of the Eaton and </w:t>
      </w:r>
      <w:proofErr w:type="spellStart"/>
      <w:r w:rsidR="00BA185F" w:rsidRPr="008825D2">
        <w:rPr>
          <w:rFonts w:ascii="Times New Roman" w:hAnsi="Times New Roman" w:cs="Times New Roman"/>
        </w:rPr>
        <w:t>Gersovitz</w:t>
      </w:r>
      <w:proofErr w:type="spellEnd"/>
      <w:r w:rsidR="00BA185F" w:rsidRPr="008825D2">
        <w:rPr>
          <w:rFonts w:ascii="Times New Roman" w:hAnsi="Times New Roman" w:cs="Times New Roman"/>
        </w:rPr>
        <w:t xml:space="preserve"> (1981) model to analyze default episodes on external debt. In this paper, we study whether the same framework can be applied to the analysis of debt crises in which domestic public debt plays a prominent role. We consider a model where a government can issue debt to both domestic and foreign investors, and we derive conditions under which their sum is the relevant state variable for default incentives. We then apply our framework to the European debt crisis. We show that matching the cyclicality of public debt—rather than that of external debt—allows the model to better capture the empirical distribution of interest rate spreads and gives rise to more realistic crises dynamics.</w:t>
      </w:r>
    </w:p>
    <w:p w14:paraId="7F7FF530"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p>
    <w:p w14:paraId="22BE4091"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r w:rsidR="00BA185F" w:rsidRPr="008825D2">
        <w:rPr>
          <w:rFonts w:ascii="Times New Roman" w:hAnsi="Times New Roman" w:cs="Times New Roman"/>
        </w:rPr>
        <w:t>【</w:t>
      </w:r>
      <w:r w:rsidR="00BA185F" w:rsidRPr="008825D2">
        <w:rPr>
          <w:rFonts w:ascii="Times New Roman" w:hAnsi="Times New Roman" w:cs="Times New Roman"/>
        </w:rPr>
        <w:t>FE21</w:t>
      </w:r>
      <w:r w:rsidR="00BA185F" w:rsidRPr="008825D2">
        <w:rPr>
          <w:rFonts w:ascii="Times New Roman" w:hAnsi="Times New Roman" w:cs="Times New Roman"/>
        </w:rPr>
        <w:t>】</w:t>
      </w:r>
      <w:r w:rsidR="00BA185F" w:rsidRPr="008825D2">
        <w:rPr>
          <w:rFonts w:ascii="Times New Roman" w:hAnsi="Times New Roman" w:cs="Times New Roman"/>
        </w:rPr>
        <w:t>Sovereign Debt and Structural Reforms</w:t>
      </w:r>
      <w:r w:rsidR="00BA185F" w:rsidRPr="008825D2">
        <w:rPr>
          <w:rFonts w:ascii="Times New Roman" w:hAnsi="Times New Roman" w:cs="Times New Roman"/>
        </w:rPr>
        <w:t xml:space="preserve">　　</w:t>
      </w:r>
      <w:proofErr w:type="spellStart"/>
      <w:r w:rsidR="00BA185F" w:rsidRPr="008825D2">
        <w:rPr>
          <w:rFonts w:ascii="Times New Roman" w:hAnsi="Times New Roman" w:cs="Times New Roman"/>
        </w:rPr>
        <w:t>Mu?ller</w:t>
      </w:r>
      <w:proofErr w:type="spellEnd"/>
      <w:r w:rsidR="00BA185F" w:rsidRPr="008825D2">
        <w:rPr>
          <w:rFonts w:ascii="Times New Roman" w:hAnsi="Times New Roman" w:cs="Times New Roman"/>
        </w:rPr>
        <w:t xml:space="preserve">, A., </w:t>
      </w:r>
      <w:proofErr w:type="spellStart"/>
      <w:r w:rsidR="00BA185F" w:rsidRPr="008825D2">
        <w:rPr>
          <w:rFonts w:ascii="Times New Roman" w:hAnsi="Times New Roman" w:cs="Times New Roman"/>
        </w:rPr>
        <w:t>Storesletten</w:t>
      </w:r>
      <w:proofErr w:type="spellEnd"/>
      <w:r w:rsidR="00BA185F" w:rsidRPr="008825D2">
        <w:rPr>
          <w:rFonts w:ascii="Times New Roman" w:hAnsi="Times New Roman" w:cs="Times New Roman"/>
        </w:rPr>
        <w:t xml:space="preserve">, K. &amp; </w:t>
      </w:r>
      <w:proofErr w:type="spellStart"/>
      <w:r w:rsidR="00BA185F" w:rsidRPr="008825D2">
        <w:rPr>
          <w:rFonts w:ascii="Times New Roman" w:hAnsi="Times New Roman" w:cs="Times New Roman"/>
        </w:rPr>
        <w:t>Zilibotti</w:t>
      </w:r>
      <w:proofErr w:type="spellEnd"/>
      <w:r w:rsidR="00BA185F" w:rsidRPr="008825D2">
        <w:rPr>
          <w:rFonts w:ascii="Times New Roman" w:hAnsi="Times New Roman" w:cs="Times New Roman"/>
        </w:rPr>
        <w:t>, F. (2019). American Economic Review, 109(</w:t>
      </w:r>
      <w:proofErr w:type="gramStart"/>
      <w:r w:rsidR="00BA185F" w:rsidRPr="008825D2">
        <w:rPr>
          <w:rFonts w:ascii="Times New Roman" w:hAnsi="Times New Roman" w:cs="Times New Roman"/>
        </w:rPr>
        <w:t>12 )</w:t>
      </w:r>
      <w:proofErr w:type="gramEnd"/>
      <w:r w:rsidR="00BA185F" w:rsidRPr="008825D2">
        <w:rPr>
          <w:rFonts w:ascii="Times New Roman" w:hAnsi="Times New Roman" w:cs="Times New Roman"/>
        </w:rPr>
        <w:t>, 4220-4259.</w:t>
      </w:r>
    </w:p>
    <w:p w14:paraId="072048EF"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r w:rsidR="00BA185F" w:rsidRPr="008825D2">
        <w:rPr>
          <w:rFonts w:ascii="Times New Roman" w:hAnsi="Times New Roman" w:cs="Times New Roman"/>
        </w:rPr>
        <w:t xml:space="preserve">We construct a dynamic theory of sovereign debt and structural reforms with limited enforcement and moral hazard. A sovereign country in recession wishes to smooth consumption. It can also undertake costly reforms to speed up recovery. The sovereign can renege on contracts by suffering a stochastic cost. The constrained optimal allocation (COA) prescribes imperfect insurance with nonmonotonic dynamics for consumption and effort. The COA is decentralized by a competitive equilibrium with markets for renegotiable GDP-linked one-period debt. The equilibrium features debt overhang: reform effort decreases in a high debt range. We also consider environments with less complete markets. </w:t>
      </w:r>
    </w:p>
    <w:p w14:paraId="04810EFD"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p>
    <w:p w14:paraId="28E9BA47"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r w:rsidR="00BA185F" w:rsidRPr="008825D2">
        <w:rPr>
          <w:rFonts w:ascii="Times New Roman" w:hAnsi="Times New Roman" w:cs="Times New Roman"/>
        </w:rPr>
        <w:t>【</w:t>
      </w:r>
      <w:r w:rsidR="00BA185F" w:rsidRPr="008825D2">
        <w:rPr>
          <w:rFonts w:ascii="Times New Roman" w:hAnsi="Times New Roman" w:cs="Times New Roman"/>
        </w:rPr>
        <w:t>FE22</w:t>
      </w:r>
      <w:r w:rsidR="00BA185F" w:rsidRPr="008825D2">
        <w:rPr>
          <w:rFonts w:ascii="Times New Roman" w:hAnsi="Times New Roman" w:cs="Times New Roman"/>
        </w:rPr>
        <w:t>】</w:t>
      </w:r>
      <w:r w:rsidR="00BA185F" w:rsidRPr="008825D2">
        <w:rPr>
          <w:rFonts w:ascii="Times New Roman" w:hAnsi="Times New Roman" w:cs="Times New Roman"/>
        </w:rPr>
        <w:t>A Model of Safe Asset Determination</w:t>
      </w:r>
      <w:r w:rsidR="00BA185F" w:rsidRPr="008825D2">
        <w:rPr>
          <w:rFonts w:ascii="Times New Roman" w:hAnsi="Times New Roman" w:cs="Times New Roman"/>
        </w:rPr>
        <w:t xml:space="preserve">　　</w:t>
      </w:r>
      <w:r w:rsidR="00BA185F" w:rsidRPr="008825D2">
        <w:rPr>
          <w:rFonts w:ascii="Times New Roman" w:hAnsi="Times New Roman" w:cs="Times New Roman"/>
        </w:rPr>
        <w:t xml:space="preserve">He, Z., Krishnamurthy, A. &amp; </w:t>
      </w:r>
      <w:proofErr w:type="spellStart"/>
      <w:r w:rsidR="00BA185F" w:rsidRPr="008825D2">
        <w:rPr>
          <w:rFonts w:ascii="Times New Roman" w:hAnsi="Times New Roman" w:cs="Times New Roman"/>
        </w:rPr>
        <w:t>Milbradt</w:t>
      </w:r>
      <w:proofErr w:type="spellEnd"/>
      <w:r w:rsidR="00BA185F" w:rsidRPr="008825D2">
        <w:rPr>
          <w:rFonts w:ascii="Times New Roman" w:hAnsi="Times New Roman" w:cs="Times New Roman"/>
        </w:rPr>
        <w:t>, K. (2019). American Economic Review, 109(4), 1230-1262.</w:t>
      </w:r>
    </w:p>
    <w:p w14:paraId="3E438460"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r w:rsidR="00BA185F" w:rsidRPr="008825D2">
        <w:rPr>
          <w:rFonts w:ascii="Times New Roman" w:hAnsi="Times New Roman" w:cs="Times New Roman"/>
        </w:rPr>
        <w:t xml:space="preserve">What makes an asset a "safe" asset? We study a model where two countries each issue sovereign bonds to satisfy investors' safe asset demands. The countries differ in the float of their bonds and the fundamental resources available to rollover debts. A sovereign's debt is safer if its </w:t>
      </w:r>
      <w:r w:rsidR="00BA185F" w:rsidRPr="008825D2">
        <w:rPr>
          <w:rFonts w:ascii="Times New Roman" w:hAnsi="Times New Roman" w:cs="Times New Roman"/>
        </w:rPr>
        <w:lastRenderedPageBreak/>
        <w:t xml:space="preserve">fundamentals are strong relative to other possible safe assets, not merely strong on an absolute basis. If demand for safe assets is high, a large float enhances safety through a market depth benefit. If demand for safe assets is low, then large debt size is a negative as rollover risk looms large. </w:t>
      </w:r>
    </w:p>
    <w:p w14:paraId="2880CF15"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p>
    <w:p w14:paraId="00E59D9E"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r w:rsidR="00BA185F" w:rsidRPr="008825D2">
        <w:rPr>
          <w:rFonts w:ascii="Times New Roman" w:hAnsi="Times New Roman" w:cs="Times New Roman"/>
        </w:rPr>
        <w:t>【</w:t>
      </w:r>
      <w:r w:rsidR="00BA185F" w:rsidRPr="008825D2">
        <w:rPr>
          <w:rFonts w:ascii="Times New Roman" w:hAnsi="Times New Roman" w:cs="Times New Roman"/>
        </w:rPr>
        <w:t>FE23</w:t>
      </w:r>
      <w:r w:rsidR="00BA185F" w:rsidRPr="008825D2">
        <w:rPr>
          <w:rFonts w:ascii="Times New Roman" w:hAnsi="Times New Roman" w:cs="Times New Roman"/>
        </w:rPr>
        <w:t>】</w:t>
      </w:r>
      <w:r w:rsidR="00BA185F" w:rsidRPr="008825D2">
        <w:rPr>
          <w:rFonts w:ascii="Times New Roman" w:hAnsi="Times New Roman" w:cs="Times New Roman"/>
        </w:rPr>
        <w:t>Global trends in interest rates</w:t>
      </w:r>
      <w:r w:rsidR="00BA185F" w:rsidRPr="008825D2">
        <w:rPr>
          <w:rFonts w:ascii="Times New Roman" w:hAnsi="Times New Roman" w:cs="Times New Roman"/>
        </w:rPr>
        <w:t xml:space="preserve">　　</w:t>
      </w:r>
      <w:r w:rsidR="00BA185F" w:rsidRPr="008825D2">
        <w:rPr>
          <w:rFonts w:ascii="Times New Roman" w:hAnsi="Times New Roman" w:cs="Times New Roman"/>
        </w:rPr>
        <w:t xml:space="preserve">Negro, M., </w:t>
      </w:r>
      <w:proofErr w:type="spellStart"/>
      <w:r w:rsidR="00BA185F" w:rsidRPr="008825D2">
        <w:rPr>
          <w:rFonts w:ascii="Times New Roman" w:hAnsi="Times New Roman" w:cs="Times New Roman"/>
        </w:rPr>
        <w:t>Giannone</w:t>
      </w:r>
      <w:proofErr w:type="spellEnd"/>
      <w:r w:rsidR="00BA185F" w:rsidRPr="008825D2">
        <w:rPr>
          <w:rFonts w:ascii="Times New Roman" w:hAnsi="Times New Roman" w:cs="Times New Roman"/>
        </w:rPr>
        <w:t xml:space="preserve">, D., </w:t>
      </w:r>
      <w:proofErr w:type="spellStart"/>
      <w:r w:rsidR="00BA185F" w:rsidRPr="008825D2">
        <w:rPr>
          <w:rFonts w:ascii="Times New Roman" w:hAnsi="Times New Roman" w:cs="Times New Roman"/>
        </w:rPr>
        <w:t>Giannoni</w:t>
      </w:r>
      <w:proofErr w:type="spellEnd"/>
      <w:r w:rsidR="00BA185F" w:rsidRPr="008825D2">
        <w:rPr>
          <w:rFonts w:ascii="Times New Roman" w:hAnsi="Times New Roman" w:cs="Times New Roman"/>
        </w:rPr>
        <w:t xml:space="preserve">, M. &amp; </w:t>
      </w:r>
      <w:proofErr w:type="spellStart"/>
      <w:r w:rsidR="00BA185F" w:rsidRPr="008825D2">
        <w:rPr>
          <w:rFonts w:ascii="Times New Roman" w:hAnsi="Times New Roman" w:cs="Times New Roman"/>
        </w:rPr>
        <w:t>Tambalotti</w:t>
      </w:r>
      <w:proofErr w:type="spellEnd"/>
      <w:r w:rsidR="00BA185F" w:rsidRPr="008825D2">
        <w:rPr>
          <w:rFonts w:ascii="Times New Roman" w:hAnsi="Times New Roman" w:cs="Times New Roman"/>
        </w:rPr>
        <w:t>, A. (2019). Journal of International Economics, 118, 248-262.</w:t>
      </w:r>
    </w:p>
    <w:p w14:paraId="78B08ED7"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r w:rsidR="00BA185F" w:rsidRPr="008825D2">
        <w:rPr>
          <w:rFonts w:ascii="Times New Roman" w:hAnsi="Times New Roman" w:cs="Times New Roman"/>
        </w:rPr>
        <w:t>The trend in the world real interest rate for safe and liquid assets fluctuated close to 2% for more than a century, but has dropped significantly over the past three decades. This decline has been common among advanced economies, as trends in real interest rates across countries have converged over this period. It was driven by an increase in the convenience yield for safety and liquidity and by lower global economic growth.</w:t>
      </w:r>
    </w:p>
    <w:p w14:paraId="5D7F247E"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p>
    <w:p w14:paraId="157FA6DB"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r w:rsidR="00BA185F" w:rsidRPr="008825D2">
        <w:rPr>
          <w:rFonts w:ascii="Times New Roman" w:hAnsi="Times New Roman" w:cs="Times New Roman"/>
        </w:rPr>
        <w:t>【</w:t>
      </w:r>
      <w:r w:rsidR="00BA185F" w:rsidRPr="008825D2">
        <w:rPr>
          <w:rFonts w:ascii="Times New Roman" w:hAnsi="Times New Roman" w:cs="Times New Roman"/>
        </w:rPr>
        <w:t>FE24</w:t>
      </w:r>
      <w:r w:rsidR="00BA185F" w:rsidRPr="008825D2">
        <w:rPr>
          <w:rFonts w:ascii="Times New Roman" w:hAnsi="Times New Roman" w:cs="Times New Roman"/>
        </w:rPr>
        <w:t>】</w:t>
      </w:r>
      <w:r w:rsidR="00BA185F" w:rsidRPr="008825D2">
        <w:rPr>
          <w:rFonts w:ascii="Times New Roman" w:hAnsi="Times New Roman" w:cs="Times New Roman"/>
        </w:rPr>
        <w:t>The Globalization Risk Premium</w:t>
      </w:r>
      <w:r w:rsidR="00BA185F" w:rsidRPr="008825D2">
        <w:rPr>
          <w:rFonts w:ascii="Times New Roman" w:hAnsi="Times New Roman" w:cs="Times New Roman"/>
        </w:rPr>
        <w:t xml:space="preserve">　　</w:t>
      </w:r>
      <w:proofErr w:type="spellStart"/>
      <w:r w:rsidR="00BA185F" w:rsidRPr="008825D2">
        <w:rPr>
          <w:rFonts w:ascii="Times New Roman" w:hAnsi="Times New Roman" w:cs="Times New Roman"/>
        </w:rPr>
        <w:t>Barrot</w:t>
      </w:r>
      <w:proofErr w:type="spellEnd"/>
      <w:r w:rsidR="00BA185F" w:rsidRPr="008825D2">
        <w:rPr>
          <w:rFonts w:ascii="Times New Roman" w:hAnsi="Times New Roman" w:cs="Times New Roman"/>
        </w:rPr>
        <w:t xml:space="preserve">, J., </w:t>
      </w:r>
      <w:proofErr w:type="spellStart"/>
      <w:r w:rsidR="00BA185F" w:rsidRPr="008825D2">
        <w:rPr>
          <w:rFonts w:ascii="Times New Roman" w:hAnsi="Times New Roman" w:cs="Times New Roman"/>
        </w:rPr>
        <w:t>Loualiche</w:t>
      </w:r>
      <w:proofErr w:type="spellEnd"/>
      <w:r w:rsidR="00BA185F" w:rsidRPr="008825D2">
        <w:rPr>
          <w:rFonts w:ascii="Times New Roman" w:hAnsi="Times New Roman" w:cs="Times New Roman"/>
        </w:rPr>
        <w:t xml:space="preserve">, E. &amp; </w:t>
      </w:r>
      <w:proofErr w:type="spellStart"/>
      <w:r w:rsidR="00BA185F" w:rsidRPr="008825D2">
        <w:rPr>
          <w:rFonts w:ascii="Times New Roman" w:hAnsi="Times New Roman" w:cs="Times New Roman"/>
        </w:rPr>
        <w:t>Sauvagnat</w:t>
      </w:r>
      <w:proofErr w:type="spellEnd"/>
      <w:r w:rsidR="00BA185F" w:rsidRPr="008825D2">
        <w:rPr>
          <w:rFonts w:ascii="Times New Roman" w:hAnsi="Times New Roman" w:cs="Times New Roman"/>
        </w:rPr>
        <w:t>, J. (2019).  Journal of Finance, 74(5), 2391-2439.</w:t>
      </w:r>
    </w:p>
    <w:p w14:paraId="5A85675F"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r w:rsidR="00BA185F" w:rsidRPr="008825D2">
        <w:rPr>
          <w:rFonts w:ascii="Times New Roman" w:hAnsi="Times New Roman" w:cs="Times New Roman"/>
        </w:rPr>
        <w:t>In this paper, we investigate how globalization is reflected in asset prices. We use shipping costs to measure firms' exposure to globalization. Firms in low shipping cost industries carry a 7% risk premium, suggesting that their cash flows covary negatively with investors' marginal utility. We find that the premium emanates from the risk of displacement of least efficient firms triggered by import competition. These findings suggest that foreign productivity shocks are associated with times when consumption is dear for investors. We discuss conditions under which a standard model of trade with asset prices can rationalize this puzzle.</w:t>
      </w:r>
    </w:p>
    <w:p w14:paraId="70B97299"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p>
    <w:p w14:paraId="511E35F5"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r w:rsidR="00BA185F" w:rsidRPr="008825D2">
        <w:rPr>
          <w:rFonts w:ascii="Times New Roman" w:hAnsi="Times New Roman" w:cs="Times New Roman"/>
        </w:rPr>
        <w:t>【</w:t>
      </w:r>
      <w:r w:rsidR="00BA185F" w:rsidRPr="008825D2">
        <w:rPr>
          <w:rFonts w:ascii="Times New Roman" w:hAnsi="Times New Roman" w:cs="Times New Roman"/>
        </w:rPr>
        <w:t>FE25</w:t>
      </w:r>
      <w:r w:rsidR="00BA185F" w:rsidRPr="008825D2">
        <w:rPr>
          <w:rFonts w:ascii="Times New Roman" w:hAnsi="Times New Roman" w:cs="Times New Roman"/>
        </w:rPr>
        <w:t>】</w:t>
      </w:r>
      <w:r w:rsidR="00BA185F" w:rsidRPr="008825D2">
        <w:rPr>
          <w:rFonts w:ascii="Times New Roman" w:hAnsi="Times New Roman" w:cs="Times New Roman"/>
        </w:rPr>
        <w:t>Finance and synchronization</w:t>
      </w:r>
      <w:r w:rsidR="00BA185F" w:rsidRPr="008825D2">
        <w:rPr>
          <w:rFonts w:ascii="Times New Roman" w:hAnsi="Times New Roman" w:cs="Times New Roman"/>
        </w:rPr>
        <w:t xml:space="preserve">　　</w:t>
      </w:r>
      <w:proofErr w:type="spellStart"/>
      <w:r w:rsidR="00BA185F" w:rsidRPr="008825D2">
        <w:rPr>
          <w:rFonts w:ascii="Times New Roman" w:hAnsi="Times New Roman" w:cs="Times New Roman"/>
        </w:rPr>
        <w:t>Cesa</w:t>
      </w:r>
      <w:proofErr w:type="spellEnd"/>
      <w:r w:rsidR="00BA185F" w:rsidRPr="008825D2">
        <w:rPr>
          <w:rFonts w:ascii="Times New Roman" w:hAnsi="Times New Roman" w:cs="Times New Roman"/>
        </w:rPr>
        <w:t xml:space="preserve">-Bianchi, A., </w:t>
      </w:r>
      <w:proofErr w:type="spellStart"/>
      <w:r w:rsidR="00BA185F" w:rsidRPr="008825D2">
        <w:rPr>
          <w:rFonts w:ascii="Times New Roman" w:hAnsi="Times New Roman" w:cs="Times New Roman"/>
        </w:rPr>
        <w:t>Imbs</w:t>
      </w:r>
      <w:proofErr w:type="spellEnd"/>
      <w:r w:rsidR="00BA185F" w:rsidRPr="008825D2">
        <w:rPr>
          <w:rFonts w:ascii="Times New Roman" w:hAnsi="Times New Roman" w:cs="Times New Roman"/>
        </w:rPr>
        <w:t xml:space="preserve">, J. &amp; </w:t>
      </w:r>
      <w:proofErr w:type="spellStart"/>
      <w:r w:rsidR="00BA185F" w:rsidRPr="008825D2">
        <w:rPr>
          <w:rFonts w:ascii="Times New Roman" w:hAnsi="Times New Roman" w:cs="Times New Roman"/>
        </w:rPr>
        <w:t>Saleheen</w:t>
      </w:r>
      <w:proofErr w:type="spellEnd"/>
      <w:r w:rsidR="00BA185F" w:rsidRPr="008825D2">
        <w:rPr>
          <w:rFonts w:ascii="Times New Roman" w:hAnsi="Times New Roman" w:cs="Times New Roman"/>
        </w:rPr>
        <w:t>, J. (2019). Journal of International Economics, 116, 74-87.</w:t>
      </w:r>
    </w:p>
    <w:p w14:paraId="02955EC0"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r w:rsidR="00BA185F" w:rsidRPr="008825D2">
        <w:rPr>
          <w:rFonts w:ascii="Times New Roman" w:hAnsi="Times New Roman" w:cs="Times New Roman"/>
        </w:rPr>
        <w:t>In the workhorse model of international real business cycles, financial integration exacerbates the cycle asymmetry created by country-specific supply shocks. The prediction is identical in response to purely common shocks in the same model augmented with simple country heterogeneity (e.g., where depreciation rates or factor shares are different across countries). This happens because common shocks have heterogeneous consequences on the marginal products of capital across countries, which triggers international investment. In the data, filtering out common shocks requires therefore allowing for country-specific loadings. We show that finance and synchronization correlate negatively in response to such common shocks, consistent with previous findings. But finance and synchronization correlate non-negatively, almost always positively, in response to purely country-specific shocks.</w:t>
      </w:r>
    </w:p>
    <w:p w14:paraId="3F7519C9"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p>
    <w:p w14:paraId="095E3D96"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r w:rsidR="00BA185F" w:rsidRPr="008825D2">
        <w:rPr>
          <w:rFonts w:ascii="Times New Roman" w:hAnsi="Times New Roman" w:cs="Times New Roman"/>
        </w:rPr>
        <w:t>【</w:t>
      </w:r>
      <w:r w:rsidR="00BA185F" w:rsidRPr="008825D2">
        <w:rPr>
          <w:rFonts w:ascii="Times New Roman" w:hAnsi="Times New Roman" w:cs="Times New Roman"/>
        </w:rPr>
        <w:t>FE26</w:t>
      </w:r>
      <w:r w:rsidR="00BA185F" w:rsidRPr="008825D2">
        <w:rPr>
          <w:rFonts w:ascii="Times New Roman" w:hAnsi="Times New Roman" w:cs="Times New Roman"/>
        </w:rPr>
        <w:t>】</w:t>
      </w:r>
      <w:r w:rsidR="00BA185F" w:rsidRPr="008825D2">
        <w:rPr>
          <w:rFonts w:ascii="Times New Roman" w:hAnsi="Times New Roman" w:cs="Times New Roman"/>
        </w:rPr>
        <w:t>Channels of US monetary policy spillovers to international bond markets</w:t>
      </w:r>
      <w:r w:rsidR="00BA185F" w:rsidRPr="008825D2">
        <w:rPr>
          <w:rFonts w:ascii="Times New Roman" w:hAnsi="Times New Roman" w:cs="Times New Roman"/>
        </w:rPr>
        <w:t xml:space="preserve">　　</w:t>
      </w:r>
      <w:proofErr w:type="spellStart"/>
      <w:r w:rsidR="00BA185F" w:rsidRPr="008825D2">
        <w:rPr>
          <w:rFonts w:ascii="Times New Roman" w:hAnsi="Times New Roman" w:cs="Times New Roman"/>
        </w:rPr>
        <w:t>Albagli</w:t>
      </w:r>
      <w:proofErr w:type="spellEnd"/>
      <w:r w:rsidR="00BA185F" w:rsidRPr="008825D2">
        <w:rPr>
          <w:rFonts w:ascii="Times New Roman" w:hAnsi="Times New Roman" w:cs="Times New Roman"/>
        </w:rPr>
        <w:t>, E., Ceballos, L., Claro, S. &amp; Romero, D. (2019). Journal of Financial Economics, 134(2), 447-473.</w:t>
      </w:r>
    </w:p>
    <w:p w14:paraId="7652179E"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r w:rsidR="00BA185F" w:rsidRPr="008825D2">
        <w:rPr>
          <w:rFonts w:ascii="Times New Roman" w:hAnsi="Times New Roman" w:cs="Times New Roman"/>
        </w:rPr>
        <w:t xml:space="preserve">We show significant US monetary policy (MP) spillovers to international bond markets. Our methodology identifies US MP shocks as the change in short-term Treasury yields around Federal Open Market Committee meetings and traces their effects on international bond yields using panel regressions. We emphasize three main results. First, US MP spillovers to long-term yields have increased substantially after the 2007–2009 global financial crisis. Second, spillovers are large compared with the effects of other events, and at least as large as the effects of domestic MP after 2008. Third, spillovers work through different channels, concentrated in risk-neutral rates </w:t>
      </w:r>
      <w:r w:rsidR="00BA185F" w:rsidRPr="008825D2">
        <w:rPr>
          <w:rFonts w:ascii="Times New Roman" w:hAnsi="Times New Roman" w:cs="Times New Roman"/>
        </w:rPr>
        <w:lastRenderedPageBreak/>
        <w:t>(expectations of future MP rates) for developed countries, but predominantly on term premia in emerging markets. In interpreting these findings, we provide evidence consistent with an exchange rate channel, according to which foreign central banks face a trade-off between narrowing MP rate differentials or experiencing currency movements against the US dollar. Developed countries adjust in a manner consistent with freely floating regimes, responding partially with risk-neutral rates and partially through currency adjustments. Instead, emerging countries display patterns consistent with foreign exchange interventions, which cushion the response of exchange rates but reinforce capital flows and their effects in bond yields through movements in term premia. Our results suggest that the endogenous effects of currency interventions on long-term yields should be added into the standard cost-benefit analysis of such policies.</w:t>
      </w:r>
    </w:p>
    <w:p w14:paraId="13009B82"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p>
    <w:p w14:paraId="6F252A1E"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r w:rsidR="00BA185F" w:rsidRPr="008825D2">
        <w:rPr>
          <w:rFonts w:ascii="Times New Roman" w:hAnsi="Times New Roman" w:cs="Times New Roman"/>
        </w:rPr>
        <w:t>【</w:t>
      </w:r>
      <w:r w:rsidR="00BA185F" w:rsidRPr="008825D2">
        <w:rPr>
          <w:rFonts w:ascii="Times New Roman" w:hAnsi="Times New Roman" w:cs="Times New Roman"/>
        </w:rPr>
        <w:t>FE27</w:t>
      </w:r>
      <w:r w:rsidR="00BA185F" w:rsidRPr="008825D2">
        <w:rPr>
          <w:rFonts w:ascii="Times New Roman" w:hAnsi="Times New Roman" w:cs="Times New Roman"/>
        </w:rPr>
        <w:t>】</w:t>
      </w:r>
      <w:r w:rsidR="00BA185F" w:rsidRPr="008825D2">
        <w:rPr>
          <w:rFonts w:ascii="Times New Roman" w:hAnsi="Times New Roman" w:cs="Times New Roman"/>
        </w:rPr>
        <w:t>Step away from the zero lower bound: Small open economies in a world of secular stagnation</w:t>
      </w:r>
      <w:r w:rsidR="00BA185F" w:rsidRPr="008825D2">
        <w:rPr>
          <w:rFonts w:ascii="Times New Roman" w:hAnsi="Times New Roman" w:cs="Times New Roman"/>
        </w:rPr>
        <w:t xml:space="preserve">　　</w:t>
      </w:r>
      <w:proofErr w:type="spellStart"/>
      <w:r w:rsidR="00BA185F" w:rsidRPr="008825D2">
        <w:rPr>
          <w:rFonts w:ascii="Times New Roman" w:hAnsi="Times New Roman" w:cs="Times New Roman"/>
        </w:rPr>
        <w:t>Corsetti</w:t>
      </w:r>
      <w:proofErr w:type="spellEnd"/>
      <w:r w:rsidR="00BA185F" w:rsidRPr="008825D2">
        <w:rPr>
          <w:rFonts w:ascii="Times New Roman" w:hAnsi="Times New Roman" w:cs="Times New Roman"/>
        </w:rPr>
        <w:t xml:space="preserve">, G., </w:t>
      </w:r>
      <w:proofErr w:type="spellStart"/>
      <w:r w:rsidR="00BA185F" w:rsidRPr="008825D2">
        <w:rPr>
          <w:rFonts w:ascii="Times New Roman" w:hAnsi="Times New Roman" w:cs="Times New Roman"/>
        </w:rPr>
        <w:t>Mavroeidi</w:t>
      </w:r>
      <w:proofErr w:type="spellEnd"/>
      <w:r w:rsidR="00BA185F" w:rsidRPr="008825D2">
        <w:rPr>
          <w:rFonts w:ascii="Times New Roman" w:hAnsi="Times New Roman" w:cs="Times New Roman"/>
        </w:rPr>
        <w:t>, E., Thwaites, G. &amp; Wolf, M. (2019). Journal of International Economics, 116, 88-102.</w:t>
      </w:r>
    </w:p>
    <w:p w14:paraId="2911C994"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r w:rsidR="00BA185F" w:rsidRPr="008825D2">
        <w:rPr>
          <w:rFonts w:ascii="Times New Roman" w:hAnsi="Times New Roman" w:cs="Times New Roman"/>
        </w:rPr>
        <w:t xml:space="preserve">We study how small open economies can escape from deflation and unemployment in a situation where the world economy is permanently depressed. Building on the framework of </w:t>
      </w:r>
      <w:proofErr w:type="spellStart"/>
      <w:r w:rsidR="00BA185F" w:rsidRPr="008825D2">
        <w:rPr>
          <w:rFonts w:ascii="Times New Roman" w:hAnsi="Times New Roman" w:cs="Times New Roman"/>
        </w:rPr>
        <w:t>Eggertsson</w:t>
      </w:r>
      <w:proofErr w:type="spellEnd"/>
      <w:r w:rsidR="00BA185F" w:rsidRPr="008825D2">
        <w:rPr>
          <w:rFonts w:ascii="Times New Roman" w:hAnsi="Times New Roman" w:cs="Times New Roman"/>
        </w:rPr>
        <w:t xml:space="preserve"> et al. (2016), we show that the transition to full employment and at-target inflation requires real and nominal depreciation of the exchange rate. However, because of adverse income and valuation effects from real depreciation, the escape has a beggar-thy-self effect, that may end up lowering welfare while eliminating underemployment. We show that as long as the economy remains financially open, domestic asset supply policies or reducing the effective lower bound on policy rates may be ineffective or even counterproductive. However, closing domestic capital markets does not necessarily enhance the monetary authorities' ability to rescue the economy from stagnation.</w:t>
      </w:r>
    </w:p>
    <w:p w14:paraId="1AAC77CB"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p>
    <w:p w14:paraId="679D32C2"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r w:rsidR="00BA185F" w:rsidRPr="008825D2">
        <w:rPr>
          <w:rFonts w:ascii="Times New Roman" w:hAnsi="Times New Roman" w:cs="Times New Roman"/>
        </w:rPr>
        <w:t>【</w:t>
      </w:r>
      <w:r w:rsidR="00BA185F" w:rsidRPr="008825D2">
        <w:rPr>
          <w:rFonts w:ascii="Times New Roman" w:hAnsi="Times New Roman" w:cs="Times New Roman"/>
        </w:rPr>
        <w:t>FE28</w:t>
      </w:r>
      <w:r w:rsidR="00BA185F" w:rsidRPr="008825D2">
        <w:rPr>
          <w:rFonts w:ascii="Times New Roman" w:hAnsi="Times New Roman" w:cs="Times New Roman"/>
        </w:rPr>
        <w:t>】</w:t>
      </w:r>
      <w:r w:rsidR="00BA185F" w:rsidRPr="008825D2">
        <w:rPr>
          <w:rFonts w:ascii="Times New Roman" w:hAnsi="Times New Roman" w:cs="Times New Roman"/>
        </w:rPr>
        <w:t>Reserve requirements and optimal Chinese stabilization policy</w:t>
      </w:r>
      <w:r w:rsidR="00BA185F" w:rsidRPr="008825D2">
        <w:rPr>
          <w:rFonts w:ascii="Times New Roman" w:hAnsi="Times New Roman" w:cs="Times New Roman"/>
        </w:rPr>
        <w:t xml:space="preserve">　　</w:t>
      </w:r>
      <w:r w:rsidR="00BA185F" w:rsidRPr="008825D2">
        <w:rPr>
          <w:rFonts w:ascii="Times New Roman" w:hAnsi="Times New Roman" w:cs="Times New Roman"/>
        </w:rPr>
        <w:t>Chang, C., Liu, Z., Liu, Z., Spiegel, M. M. &amp; Zhang, J. (2019). Journal of Monetary Economics, 103, 33-51.</w:t>
      </w:r>
    </w:p>
    <w:p w14:paraId="6DA606F3"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r w:rsidR="00BA185F" w:rsidRPr="008825D2">
        <w:rPr>
          <w:rFonts w:ascii="Times New Roman" w:hAnsi="Times New Roman" w:cs="Times New Roman"/>
        </w:rPr>
        <w:t>China’s central bank frequently adjusts reserve requirements for macroeconomic stabilization. We evaluate the effectiveness of such policy in a two-sector DSGE model. A heavy-industry sector—proxied as state-owned enterprises (SOEs)—is financed through government-guaranteed bank loans subject to reserve requirements, while more productive private firms rely on unregulated off-balance sheet financing. Increasing reserve requirements reallocates resources towards private firms, raising both aggregate productivity and SOE bankruptcies. Optimal reserve requirement adjustments complement money supply adjustments in improving macroeconomic stability and welfare. However, gains are greater under sector-specific shocks, which call for resource reallocation, than under aggregate shocks.</w:t>
      </w:r>
    </w:p>
    <w:p w14:paraId="3173AE82"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p>
    <w:p w14:paraId="622EE3E5"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r w:rsidR="00BA185F" w:rsidRPr="008825D2">
        <w:rPr>
          <w:rFonts w:ascii="Times New Roman" w:hAnsi="Times New Roman" w:cs="Times New Roman"/>
        </w:rPr>
        <w:t>【</w:t>
      </w:r>
      <w:r w:rsidR="00BA185F" w:rsidRPr="008825D2">
        <w:rPr>
          <w:rFonts w:ascii="Times New Roman" w:hAnsi="Times New Roman" w:cs="Times New Roman"/>
        </w:rPr>
        <w:t>FE29</w:t>
      </w:r>
      <w:r w:rsidR="00BA185F" w:rsidRPr="008825D2">
        <w:rPr>
          <w:rFonts w:ascii="Times New Roman" w:hAnsi="Times New Roman" w:cs="Times New Roman"/>
        </w:rPr>
        <w:t>】</w:t>
      </w:r>
      <w:r w:rsidR="00BA185F" w:rsidRPr="008825D2">
        <w:rPr>
          <w:rFonts w:ascii="Times New Roman" w:hAnsi="Times New Roman" w:cs="Times New Roman"/>
        </w:rPr>
        <w:t>Optimal unemployment insurance and international risk sharing</w:t>
      </w:r>
      <w:r w:rsidR="00BA185F" w:rsidRPr="008825D2">
        <w:rPr>
          <w:rFonts w:ascii="Times New Roman" w:hAnsi="Times New Roman" w:cs="Times New Roman"/>
        </w:rPr>
        <w:t xml:space="preserve">　　</w:t>
      </w:r>
      <w:proofErr w:type="spellStart"/>
      <w:r w:rsidR="00BA185F" w:rsidRPr="008825D2">
        <w:rPr>
          <w:rFonts w:ascii="Times New Roman" w:hAnsi="Times New Roman" w:cs="Times New Roman"/>
        </w:rPr>
        <w:t>Moyen</w:t>
      </w:r>
      <w:proofErr w:type="spellEnd"/>
      <w:r w:rsidR="00BA185F" w:rsidRPr="008825D2">
        <w:rPr>
          <w:rFonts w:ascii="Times New Roman" w:hAnsi="Times New Roman" w:cs="Times New Roman"/>
        </w:rPr>
        <w:t xml:space="preserve">, S., </w:t>
      </w:r>
      <w:proofErr w:type="spellStart"/>
      <w:proofErr w:type="gramStart"/>
      <w:r w:rsidR="00BA185F" w:rsidRPr="008825D2">
        <w:rPr>
          <w:rFonts w:ascii="Times New Roman" w:hAnsi="Times New Roman" w:cs="Times New Roman"/>
        </w:rPr>
        <w:t>St?hler</w:t>
      </w:r>
      <w:proofErr w:type="spellEnd"/>
      <w:proofErr w:type="gramEnd"/>
      <w:r w:rsidR="00BA185F" w:rsidRPr="008825D2">
        <w:rPr>
          <w:rFonts w:ascii="Times New Roman" w:hAnsi="Times New Roman" w:cs="Times New Roman"/>
        </w:rPr>
        <w:t>, N. &amp; Winkler, F. (2019). European Economic Review, 115, 144-171.</w:t>
      </w:r>
    </w:p>
    <w:p w14:paraId="77F4B08E"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r w:rsidR="00BA185F" w:rsidRPr="008825D2">
        <w:rPr>
          <w:rFonts w:ascii="Times New Roman" w:hAnsi="Times New Roman" w:cs="Times New Roman"/>
        </w:rPr>
        <w:t xml:space="preserve">If a group of countries were to introduce a common unemployment insurance system, what should it look like? Using a two-country business cycle model with incomplete financial markets and frictional labor markets, we show that the optimal replacement rate becomes more countercyclical relative to a closed economy, due to the planner’s desire for international risk sharing. Moreover, it is feasible to channel cross-country transfers through the unemployment </w:t>
      </w:r>
      <w:r w:rsidR="00BA185F" w:rsidRPr="008825D2">
        <w:rPr>
          <w:rFonts w:ascii="Times New Roman" w:hAnsi="Times New Roman" w:cs="Times New Roman"/>
        </w:rPr>
        <w:lastRenderedPageBreak/>
        <w:t>insurance system without affecting unemployment levels. When we calibrate our model to Eurozone data, optimal transfers are sizable and stabilize consumption mainly in the periphery countries, while optimal replacement rates are countercyclical overall.</w:t>
      </w:r>
    </w:p>
    <w:p w14:paraId="6619F841"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p>
    <w:p w14:paraId="476C0F9C" w14:textId="77777777" w:rsidR="008825D2" w:rsidRPr="008825D2" w:rsidRDefault="008825D2" w:rsidP="00BA185F">
      <w:pPr>
        <w:rPr>
          <w:rFonts w:ascii="Times New Roman" w:hAnsi="Times New Roman" w:cs="Times New Roman"/>
        </w:rPr>
      </w:pPr>
      <w:r w:rsidRPr="008825D2">
        <w:rPr>
          <w:rFonts w:ascii="Times New Roman" w:hAnsi="Times New Roman" w:cs="Times New Roman"/>
        </w:rPr>
        <w:t xml:space="preserve">　　</w:t>
      </w:r>
      <w:r w:rsidR="00BA185F" w:rsidRPr="008825D2">
        <w:rPr>
          <w:rFonts w:ascii="Times New Roman" w:hAnsi="Times New Roman" w:cs="Times New Roman"/>
        </w:rPr>
        <w:t>【</w:t>
      </w:r>
      <w:r w:rsidR="00BA185F" w:rsidRPr="008825D2">
        <w:rPr>
          <w:rFonts w:ascii="Times New Roman" w:hAnsi="Times New Roman" w:cs="Times New Roman"/>
        </w:rPr>
        <w:t>FE30</w:t>
      </w:r>
      <w:r w:rsidR="00BA185F" w:rsidRPr="008825D2">
        <w:rPr>
          <w:rFonts w:ascii="Times New Roman" w:hAnsi="Times New Roman" w:cs="Times New Roman"/>
        </w:rPr>
        <w:t>】</w:t>
      </w:r>
      <w:r w:rsidR="00BA185F" w:rsidRPr="008825D2">
        <w:rPr>
          <w:rFonts w:ascii="Times New Roman" w:hAnsi="Times New Roman" w:cs="Times New Roman"/>
        </w:rPr>
        <w:t>The Paradox of Global Thrift</w:t>
      </w:r>
      <w:r w:rsidR="00BA185F" w:rsidRPr="008825D2">
        <w:rPr>
          <w:rFonts w:ascii="Times New Roman" w:hAnsi="Times New Roman" w:cs="Times New Roman"/>
        </w:rPr>
        <w:t xml:space="preserve">　　</w:t>
      </w:r>
      <w:proofErr w:type="spellStart"/>
      <w:r w:rsidR="00BA185F" w:rsidRPr="008825D2">
        <w:rPr>
          <w:rFonts w:ascii="Times New Roman" w:hAnsi="Times New Roman" w:cs="Times New Roman"/>
        </w:rPr>
        <w:t>Fornaro</w:t>
      </w:r>
      <w:proofErr w:type="spellEnd"/>
      <w:r w:rsidR="00BA185F" w:rsidRPr="008825D2">
        <w:rPr>
          <w:rFonts w:ascii="Times New Roman" w:hAnsi="Times New Roman" w:cs="Times New Roman"/>
        </w:rPr>
        <w:t xml:space="preserve">, L. &amp; </w:t>
      </w:r>
      <w:proofErr w:type="spellStart"/>
      <w:r w:rsidR="00BA185F" w:rsidRPr="008825D2">
        <w:rPr>
          <w:rFonts w:ascii="Times New Roman" w:hAnsi="Times New Roman" w:cs="Times New Roman"/>
        </w:rPr>
        <w:t>Romei</w:t>
      </w:r>
      <w:proofErr w:type="spellEnd"/>
      <w:r w:rsidR="00BA185F" w:rsidRPr="008825D2">
        <w:rPr>
          <w:rFonts w:ascii="Times New Roman" w:hAnsi="Times New Roman" w:cs="Times New Roman"/>
        </w:rPr>
        <w:t>, F. (2019). American Economic Review, 109(11), 3745-3779.</w:t>
      </w:r>
    </w:p>
    <w:p w14:paraId="03EBEE41" w14:textId="77777777" w:rsidR="008825D2" w:rsidRPr="008825D2" w:rsidRDefault="008825D2" w:rsidP="008825D2">
      <w:pPr>
        <w:rPr>
          <w:rFonts w:ascii="Times New Roman" w:hAnsi="Times New Roman" w:cs="Times New Roman"/>
        </w:rPr>
      </w:pPr>
      <w:r w:rsidRPr="008825D2">
        <w:rPr>
          <w:rFonts w:ascii="Times New Roman" w:hAnsi="Times New Roman" w:cs="Times New Roman"/>
        </w:rPr>
        <w:t xml:space="preserve">　　</w:t>
      </w:r>
      <w:r w:rsidR="00BA185F" w:rsidRPr="008825D2">
        <w:rPr>
          <w:rFonts w:ascii="Times New Roman" w:hAnsi="Times New Roman" w:cs="Times New Roman"/>
        </w:rPr>
        <w:t xml:space="preserve">This paper describes a paradox of global thrift. Consider a world in which interest rates are low and monetary policy is constrained by the </w:t>
      </w:r>
      <w:proofErr w:type="gramStart"/>
      <w:r w:rsidR="00BA185F" w:rsidRPr="008825D2">
        <w:rPr>
          <w:rFonts w:ascii="Times New Roman" w:hAnsi="Times New Roman" w:cs="Times New Roman"/>
        </w:rPr>
        <w:t>zero lower</w:t>
      </w:r>
      <w:proofErr w:type="gramEnd"/>
      <w:r w:rsidR="00BA185F" w:rsidRPr="008825D2">
        <w:rPr>
          <w:rFonts w:ascii="Times New Roman" w:hAnsi="Times New Roman" w:cs="Times New Roman"/>
        </w:rPr>
        <w:t xml:space="preserve"> bound. Now imagine that governments implement prudential financial and fiscal policies to stabilize the economy. We show that these policies, while effective from the perspective of individual countries, might backfire if applied on a global scale. In fact, prudential policies generate a rise in the global supply of savings and a drop in global aggregate demand. Weaker global aggregate demand depresses output in countries at the </w:t>
      </w:r>
      <w:proofErr w:type="gramStart"/>
      <w:r w:rsidR="00BA185F" w:rsidRPr="008825D2">
        <w:rPr>
          <w:rFonts w:ascii="Times New Roman" w:hAnsi="Times New Roman" w:cs="Times New Roman"/>
        </w:rPr>
        <w:t>zero lower</w:t>
      </w:r>
      <w:proofErr w:type="gramEnd"/>
      <w:r w:rsidR="00BA185F" w:rsidRPr="008825D2">
        <w:rPr>
          <w:rFonts w:ascii="Times New Roman" w:hAnsi="Times New Roman" w:cs="Times New Roman"/>
        </w:rPr>
        <w:t xml:space="preserve"> bound. Due to this effect, noncooperative financial and fiscal policies might lead to a fall in global output and welfare. </w:t>
      </w:r>
    </w:p>
    <w:sectPr w:rsidR="008825D2" w:rsidRPr="008825D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E4F6F" w14:textId="77777777" w:rsidR="00B64B95" w:rsidRDefault="00B64B95" w:rsidP="008825D2">
      <w:r>
        <w:separator/>
      </w:r>
    </w:p>
  </w:endnote>
  <w:endnote w:type="continuationSeparator" w:id="0">
    <w:p w14:paraId="04B93B85" w14:textId="77777777" w:rsidR="00B64B95" w:rsidRDefault="00B64B95" w:rsidP="0088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4209355"/>
      <w:docPartObj>
        <w:docPartGallery w:val="Page Numbers (Bottom of Page)"/>
        <w:docPartUnique/>
      </w:docPartObj>
    </w:sdtPr>
    <w:sdtContent>
      <w:p w14:paraId="748382E7" w14:textId="1CB0F326" w:rsidR="008825D2" w:rsidRDefault="008825D2">
        <w:pPr>
          <w:pStyle w:val="a5"/>
          <w:jc w:val="center"/>
        </w:pPr>
        <w:r>
          <w:fldChar w:fldCharType="begin"/>
        </w:r>
        <w:r>
          <w:instrText>PAGE   \* MERGEFORMAT</w:instrText>
        </w:r>
        <w:r>
          <w:fldChar w:fldCharType="separate"/>
        </w:r>
        <w:r>
          <w:rPr>
            <w:lang w:val="zh-CN"/>
          </w:rPr>
          <w:t>2</w:t>
        </w:r>
        <w:r>
          <w:fldChar w:fldCharType="end"/>
        </w:r>
      </w:p>
    </w:sdtContent>
  </w:sdt>
  <w:p w14:paraId="4C14046A" w14:textId="77777777" w:rsidR="008825D2" w:rsidRDefault="008825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7DA89" w14:textId="77777777" w:rsidR="00B64B95" w:rsidRDefault="00B64B95" w:rsidP="008825D2">
      <w:r>
        <w:separator/>
      </w:r>
    </w:p>
  </w:footnote>
  <w:footnote w:type="continuationSeparator" w:id="0">
    <w:p w14:paraId="147A4C9E" w14:textId="77777777" w:rsidR="00B64B95" w:rsidRDefault="00B64B95" w:rsidP="008825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5F"/>
    <w:rsid w:val="0050327D"/>
    <w:rsid w:val="00590A48"/>
    <w:rsid w:val="006E1B84"/>
    <w:rsid w:val="00720206"/>
    <w:rsid w:val="00727EA9"/>
    <w:rsid w:val="008419EE"/>
    <w:rsid w:val="008825D2"/>
    <w:rsid w:val="00A50C22"/>
    <w:rsid w:val="00B64B95"/>
    <w:rsid w:val="00BA1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ABA34"/>
  <w15:chartTrackingRefBased/>
  <w15:docId w15:val="{B121792A-1664-4392-8226-022367E0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25D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825D2"/>
    <w:rPr>
      <w:sz w:val="18"/>
      <w:szCs w:val="18"/>
    </w:rPr>
  </w:style>
  <w:style w:type="paragraph" w:styleId="a5">
    <w:name w:val="footer"/>
    <w:basedOn w:val="a"/>
    <w:link w:val="a6"/>
    <w:uiPriority w:val="99"/>
    <w:unhideWhenUsed/>
    <w:rsid w:val="008825D2"/>
    <w:pPr>
      <w:tabs>
        <w:tab w:val="center" w:pos="4153"/>
        <w:tab w:val="right" w:pos="8306"/>
      </w:tabs>
      <w:snapToGrid w:val="0"/>
      <w:jc w:val="left"/>
    </w:pPr>
    <w:rPr>
      <w:sz w:val="18"/>
      <w:szCs w:val="18"/>
    </w:rPr>
  </w:style>
  <w:style w:type="character" w:customStyle="1" w:styleId="a6">
    <w:name w:val="页脚 字符"/>
    <w:basedOn w:val="a0"/>
    <w:link w:val="a5"/>
    <w:uiPriority w:val="99"/>
    <w:rsid w:val="008825D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6335</Words>
  <Characters>36110</Characters>
  <Application>Microsoft Office Word</Application>
  <DocSecurity>0</DocSecurity>
  <Lines>300</Lines>
  <Paragraphs>84</Paragraphs>
  <ScaleCrop>false</ScaleCrop>
  <Company/>
  <LinksUpToDate>false</LinksUpToDate>
  <CharactersWithSpaces>42361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Scott</dc:creator>
  <cp:keywords/>
  <dc:description/>
  <cp:lastModifiedBy>liu Scott</cp:lastModifiedBy>
  <cp:revision>5</cp:revision>
  <dcterms:created xsi:type="dcterms:W3CDTF">2020-07-10T06:50:00Z</dcterms:created>
  <dcterms:modified xsi:type="dcterms:W3CDTF">2020-07-10T07:18:00Z</dcterms:modified>
</cp:coreProperties>
</file>